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8F6E3" w14:textId="77777777" w:rsidR="00AB4745" w:rsidRDefault="00E110C2" w:rsidP="00AB4745">
      <w:pPr>
        <w:spacing w:after="0" w:line="240" w:lineRule="auto"/>
        <w:ind w:left="-284"/>
        <w:rPr>
          <w:rFonts w:ascii="Verdana" w:hAnsi="Verdana" w:cs="Univers 55"/>
          <w:b/>
          <w:color w:val="A80401"/>
          <w:sz w:val="20"/>
          <w:szCs w:val="20"/>
        </w:rPr>
      </w:pPr>
      <w:r w:rsidRPr="00E5654F">
        <w:rPr>
          <w:noProof/>
          <w:color w:val="C00000"/>
          <w:lang w:val="en-CA" w:eastAsia="en-CA"/>
        </w:rPr>
        <mc:AlternateContent>
          <mc:Choice Requires="wps">
            <w:drawing>
              <wp:anchor distT="0" distB="0" distL="114300" distR="114300" simplePos="0" relativeHeight="251661312" behindDoc="0" locked="0" layoutInCell="1" allowOverlap="1" wp14:anchorId="533F2245" wp14:editId="381289DB">
                <wp:simplePos x="0" y="0"/>
                <wp:positionH relativeFrom="page">
                  <wp:posOffset>-43072</wp:posOffset>
                </wp:positionH>
                <wp:positionV relativeFrom="paragraph">
                  <wp:posOffset>911860</wp:posOffset>
                </wp:positionV>
                <wp:extent cx="2406770" cy="82735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770" cy="8273539"/>
                        </a:xfrm>
                        <a:prstGeom prst="rect">
                          <a:avLst/>
                        </a:prstGeom>
                        <a:noFill/>
                        <a:ln w="9525">
                          <a:noFill/>
                          <a:miter lim="800000"/>
                          <a:headEnd/>
                          <a:tailEnd/>
                        </a:ln>
                      </wps:spPr>
                      <wps:txbx>
                        <w:txbxContent>
                          <w:p w14:paraId="6E5B2D70" w14:textId="6A1BA400" w:rsidR="00C117A8" w:rsidRPr="001C3921" w:rsidRDefault="00C117A8" w:rsidP="000315E8">
                            <w:pPr>
                              <w:spacing w:after="0" w:line="240" w:lineRule="auto"/>
                              <w:rPr>
                                <w:rFonts w:ascii="Verdana" w:hAnsi="Verdana"/>
                                <w:sz w:val="16"/>
                                <w:szCs w:val="20"/>
                              </w:rPr>
                            </w:pPr>
                            <w:r w:rsidRPr="001C3921">
                              <w:rPr>
                                <w:rFonts w:ascii="Verdana" w:eastAsiaTheme="minorEastAsia" w:hAnsi="Verdana"/>
                                <w:b/>
                                <w:sz w:val="16"/>
                                <w:szCs w:val="20"/>
                                <w:lang w:val="en-CA" w:eastAsia="zh-CN"/>
                              </w:rPr>
                              <w:t>Tyler R. Chesney</w:t>
                            </w:r>
                            <w:r w:rsidR="00500108" w:rsidRPr="001C3921">
                              <w:rPr>
                                <w:rFonts w:ascii="Verdana" w:eastAsiaTheme="minorEastAsia" w:hAnsi="Verdana"/>
                                <w:b/>
                                <w:sz w:val="16"/>
                                <w:szCs w:val="20"/>
                                <w:lang w:val="en-CA" w:eastAsia="zh-CN"/>
                              </w:rPr>
                              <w:t xml:space="preserve"> </w:t>
                            </w:r>
                            <w:r w:rsidRPr="001C3921">
                              <w:rPr>
                                <w:rFonts w:ascii="Verdana" w:hAnsi="Verdana"/>
                                <w:b/>
                                <w:sz w:val="16"/>
                                <w:szCs w:val="20"/>
                              </w:rPr>
                              <w:t>MD MSc</w:t>
                            </w:r>
                          </w:p>
                          <w:p w14:paraId="3AEB0798" w14:textId="6F816CFA" w:rsidR="00C117A8" w:rsidRPr="001C3921" w:rsidRDefault="00C117A8" w:rsidP="000315E8">
                            <w:pPr>
                              <w:spacing w:after="0" w:line="240" w:lineRule="auto"/>
                              <w:rPr>
                                <w:rFonts w:ascii="Verdana" w:hAnsi="Verdana"/>
                                <w:i/>
                                <w:sz w:val="16"/>
                                <w:szCs w:val="20"/>
                              </w:rPr>
                            </w:pPr>
                            <w:r w:rsidRPr="001C3921">
                              <w:rPr>
                                <w:rFonts w:ascii="Verdana" w:hAnsi="Verdana"/>
                                <w:i/>
                                <w:sz w:val="16"/>
                                <w:szCs w:val="20"/>
                              </w:rPr>
                              <w:t xml:space="preserve">Division of General Surgery, Department of </w:t>
                            </w:r>
                            <w:r w:rsidR="00231C48" w:rsidRPr="001C3921">
                              <w:rPr>
                                <w:rFonts w:ascii="Verdana" w:hAnsi="Verdana"/>
                                <w:i/>
                                <w:sz w:val="16"/>
                                <w:szCs w:val="20"/>
                              </w:rPr>
                              <w:t>Surgery, University of Toronto</w:t>
                            </w:r>
                            <w:r w:rsidR="000315E8" w:rsidRPr="001C3921">
                              <w:rPr>
                                <w:rFonts w:ascii="Verdana" w:hAnsi="Verdana"/>
                                <w:i/>
                                <w:sz w:val="16"/>
                                <w:szCs w:val="20"/>
                              </w:rPr>
                              <w:t xml:space="preserve">; </w:t>
                            </w:r>
                            <w:r w:rsidRPr="001C3921">
                              <w:rPr>
                                <w:rFonts w:ascii="Verdana" w:hAnsi="Verdana"/>
                                <w:i/>
                                <w:sz w:val="16"/>
                                <w:szCs w:val="20"/>
                              </w:rPr>
                              <w:t>Division of General Surgery, Department of Surgery, St. Michael’s Hospita</w:t>
                            </w:r>
                            <w:r w:rsidR="000315E8" w:rsidRPr="001C3921">
                              <w:rPr>
                                <w:rFonts w:ascii="Verdana" w:hAnsi="Verdana"/>
                                <w:i/>
                                <w:sz w:val="16"/>
                                <w:szCs w:val="20"/>
                              </w:rPr>
                              <w:t>l</w:t>
                            </w:r>
                          </w:p>
                          <w:p w14:paraId="658F1DF8" w14:textId="2361AD3A" w:rsidR="00C117A8" w:rsidRPr="001C3921" w:rsidRDefault="00C117A8" w:rsidP="000315E8">
                            <w:pPr>
                              <w:spacing w:after="0" w:line="240" w:lineRule="auto"/>
                              <w:rPr>
                                <w:rFonts w:ascii="Verdana" w:hAnsi="Verdana"/>
                                <w:i/>
                                <w:sz w:val="16"/>
                                <w:szCs w:val="20"/>
                              </w:rPr>
                            </w:pPr>
                            <w:r w:rsidRPr="001C3921">
                              <w:rPr>
                                <w:rFonts w:ascii="Verdana" w:hAnsi="Verdana"/>
                                <w:b/>
                                <w:i/>
                                <w:sz w:val="20"/>
                                <w:szCs w:val="20"/>
                              </w:rPr>
                              <w:br/>
                            </w:r>
                            <w:proofErr w:type="spellStart"/>
                            <w:r w:rsidR="00231C48" w:rsidRPr="001C3921">
                              <w:rPr>
                                <w:rFonts w:ascii="Verdana" w:eastAsiaTheme="minorEastAsia" w:hAnsi="Verdana"/>
                                <w:b/>
                                <w:sz w:val="16"/>
                                <w:szCs w:val="20"/>
                                <w:lang w:val="en-CA" w:eastAsia="zh-CN"/>
                              </w:rPr>
                              <w:t>Naser</w:t>
                            </w:r>
                            <w:proofErr w:type="spellEnd"/>
                            <w:r w:rsidR="00231C48" w:rsidRPr="001C3921">
                              <w:rPr>
                                <w:rFonts w:ascii="Verdana" w:eastAsiaTheme="minorEastAsia" w:hAnsi="Verdana"/>
                                <w:b/>
                                <w:sz w:val="16"/>
                                <w:szCs w:val="20"/>
                                <w:lang w:val="en-CA" w:eastAsia="zh-CN"/>
                              </w:rPr>
                              <w:t xml:space="preserve"> </w:t>
                            </w:r>
                            <w:proofErr w:type="spellStart"/>
                            <w:r w:rsidR="00231C48" w:rsidRPr="001C3921">
                              <w:rPr>
                                <w:rFonts w:ascii="Verdana" w:eastAsiaTheme="minorEastAsia" w:hAnsi="Verdana"/>
                                <w:b/>
                                <w:sz w:val="16"/>
                                <w:szCs w:val="20"/>
                                <w:lang w:val="en-CA" w:eastAsia="zh-CN"/>
                              </w:rPr>
                              <w:t>AlQurini</w:t>
                            </w:r>
                            <w:proofErr w:type="spellEnd"/>
                            <w:r w:rsidR="00500108" w:rsidRPr="001C3921">
                              <w:rPr>
                                <w:rFonts w:ascii="Verdana" w:eastAsiaTheme="minorEastAsia" w:hAnsi="Verdana"/>
                                <w:b/>
                                <w:sz w:val="16"/>
                                <w:szCs w:val="20"/>
                                <w:lang w:val="en-CA" w:eastAsia="zh-CN"/>
                              </w:rPr>
                              <w:t xml:space="preserve"> </w:t>
                            </w:r>
                            <w:r w:rsidRPr="001C3921">
                              <w:rPr>
                                <w:rFonts w:ascii="Verdana" w:eastAsiaTheme="minorEastAsia" w:hAnsi="Verdana"/>
                                <w:b/>
                                <w:sz w:val="16"/>
                                <w:szCs w:val="20"/>
                                <w:lang w:val="en-CA" w:eastAsia="zh-CN"/>
                              </w:rPr>
                              <w:t>MD</w:t>
                            </w:r>
                            <w:r w:rsidRPr="001C3921">
                              <w:rPr>
                                <w:rFonts w:ascii="Verdana" w:hAnsi="Verdana"/>
                                <w:sz w:val="20"/>
                                <w:szCs w:val="20"/>
                              </w:rPr>
                              <w:br/>
                            </w:r>
                            <w:r w:rsidR="00231C48" w:rsidRPr="001C3921">
                              <w:rPr>
                                <w:rFonts w:ascii="Verdana" w:hAnsi="Verdana"/>
                                <w:i/>
                                <w:sz w:val="16"/>
                                <w:szCs w:val="20"/>
                              </w:rPr>
                              <w:t>Division of Geriatric Medicine, Department of Medicine, Un</w:t>
                            </w:r>
                            <w:r w:rsidR="000315E8" w:rsidRPr="001C3921">
                              <w:rPr>
                                <w:rFonts w:ascii="Verdana" w:hAnsi="Verdana"/>
                                <w:i/>
                                <w:sz w:val="16"/>
                                <w:szCs w:val="20"/>
                              </w:rPr>
                              <w:t>iversity of Toronto</w:t>
                            </w:r>
                          </w:p>
                          <w:p w14:paraId="3E7DA56F" w14:textId="77777777" w:rsidR="00231C48" w:rsidRPr="001C3921" w:rsidRDefault="00231C48" w:rsidP="000315E8">
                            <w:pPr>
                              <w:spacing w:after="0" w:line="240" w:lineRule="auto"/>
                              <w:rPr>
                                <w:rFonts w:ascii="Verdana" w:hAnsi="Verdana"/>
                                <w:i/>
                                <w:sz w:val="20"/>
                                <w:szCs w:val="20"/>
                              </w:rPr>
                            </w:pPr>
                          </w:p>
                          <w:p w14:paraId="75407434" w14:textId="19C3AC05" w:rsidR="00C117A8" w:rsidRPr="001C3921" w:rsidRDefault="00231C48" w:rsidP="000315E8">
                            <w:pPr>
                              <w:spacing w:after="0" w:line="240" w:lineRule="auto"/>
                              <w:rPr>
                                <w:rFonts w:ascii="Verdana" w:hAnsi="Verdana"/>
                                <w:i/>
                                <w:sz w:val="20"/>
                                <w:szCs w:val="20"/>
                              </w:rPr>
                            </w:pPr>
                            <w:proofErr w:type="spellStart"/>
                            <w:r w:rsidRPr="001C3921">
                              <w:rPr>
                                <w:rFonts w:ascii="Verdana" w:eastAsiaTheme="minorEastAsia" w:hAnsi="Verdana"/>
                                <w:b/>
                                <w:sz w:val="16"/>
                                <w:szCs w:val="20"/>
                                <w:lang w:val="en-CA" w:eastAsia="zh-CN"/>
                              </w:rPr>
                              <w:t>Anupam</w:t>
                            </w:r>
                            <w:proofErr w:type="spellEnd"/>
                            <w:r w:rsidRPr="001C3921">
                              <w:rPr>
                                <w:rFonts w:ascii="Verdana" w:eastAsiaTheme="minorEastAsia" w:hAnsi="Verdana"/>
                                <w:b/>
                                <w:sz w:val="16"/>
                                <w:szCs w:val="20"/>
                                <w:lang w:val="en-CA" w:eastAsia="zh-CN"/>
                              </w:rPr>
                              <w:t xml:space="preserve"> </w:t>
                            </w:r>
                            <w:proofErr w:type="spellStart"/>
                            <w:r w:rsidRPr="001C3921">
                              <w:rPr>
                                <w:rFonts w:ascii="Verdana" w:eastAsiaTheme="minorEastAsia" w:hAnsi="Verdana"/>
                                <w:b/>
                                <w:sz w:val="16"/>
                                <w:szCs w:val="20"/>
                                <w:lang w:val="en-CA" w:eastAsia="zh-CN"/>
                              </w:rPr>
                              <w:t>Batra</w:t>
                            </w:r>
                            <w:proofErr w:type="spellEnd"/>
                            <w:r w:rsidR="00500108" w:rsidRPr="001C3921">
                              <w:rPr>
                                <w:rFonts w:ascii="Verdana" w:eastAsiaTheme="minorEastAsia" w:hAnsi="Verdana"/>
                                <w:b/>
                                <w:sz w:val="16"/>
                                <w:szCs w:val="20"/>
                                <w:lang w:val="en-CA" w:eastAsia="zh-CN"/>
                              </w:rPr>
                              <w:t xml:space="preserve"> </w:t>
                            </w:r>
                            <w:r w:rsidRPr="001C3921">
                              <w:rPr>
                                <w:rFonts w:ascii="Verdana" w:eastAsiaTheme="minorEastAsia" w:hAnsi="Verdana"/>
                                <w:b/>
                                <w:sz w:val="16"/>
                                <w:szCs w:val="20"/>
                                <w:lang w:val="en-CA" w:eastAsia="zh-CN"/>
                              </w:rPr>
                              <w:t>MD</w:t>
                            </w:r>
                            <w:r w:rsidR="00C117A8" w:rsidRPr="001C3921">
                              <w:rPr>
                                <w:rFonts w:ascii="Verdana" w:hAnsi="Verdana"/>
                                <w:sz w:val="20"/>
                                <w:szCs w:val="20"/>
                              </w:rPr>
                              <w:br/>
                            </w:r>
                            <w:r w:rsidR="00500108" w:rsidRPr="001C3921">
                              <w:rPr>
                                <w:rFonts w:ascii="Verdana" w:hAnsi="Verdana"/>
                                <w:i/>
                                <w:sz w:val="16"/>
                                <w:szCs w:val="20"/>
                              </w:rPr>
                              <w:t>Cambridge Memorial Hospital</w:t>
                            </w:r>
                            <w:r w:rsidRPr="001C3921">
                              <w:rPr>
                                <w:rFonts w:ascii="Verdana" w:hAnsi="Verdana"/>
                                <w:i/>
                                <w:sz w:val="16"/>
                                <w:szCs w:val="20"/>
                              </w:rPr>
                              <w:t>, ON</w:t>
                            </w:r>
                          </w:p>
                          <w:p w14:paraId="44B6E9C6" w14:textId="77777777" w:rsidR="00C117A8" w:rsidRPr="001C3921" w:rsidRDefault="00C117A8" w:rsidP="000315E8">
                            <w:pPr>
                              <w:spacing w:after="0" w:line="240" w:lineRule="auto"/>
                              <w:rPr>
                                <w:rFonts w:ascii="Verdana" w:hAnsi="Verdana"/>
                                <w:i/>
                                <w:sz w:val="20"/>
                                <w:szCs w:val="20"/>
                              </w:rPr>
                            </w:pPr>
                          </w:p>
                          <w:p w14:paraId="38332693" w14:textId="02AB02C7" w:rsidR="00231C48" w:rsidRPr="001C3921" w:rsidRDefault="00231C48" w:rsidP="000315E8">
                            <w:pPr>
                              <w:spacing w:after="0" w:line="240" w:lineRule="auto"/>
                              <w:rPr>
                                <w:rFonts w:ascii="Verdana" w:eastAsiaTheme="minorEastAsia" w:hAnsi="Verdana"/>
                                <w:b/>
                                <w:sz w:val="16"/>
                                <w:szCs w:val="20"/>
                                <w:lang w:val="en-CA" w:eastAsia="zh-CN"/>
                              </w:rPr>
                            </w:pPr>
                            <w:r w:rsidRPr="001C3921">
                              <w:rPr>
                                <w:rFonts w:ascii="Verdana" w:eastAsiaTheme="minorEastAsia" w:hAnsi="Verdana"/>
                                <w:b/>
                                <w:sz w:val="16"/>
                                <w:szCs w:val="20"/>
                                <w:lang w:val="en-CA" w:eastAsia="zh-CN"/>
                              </w:rPr>
                              <w:t>David E Dawe</w:t>
                            </w:r>
                            <w:r w:rsidR="00500108" w:rsidRPr="001C3921">
                              <w:rPr>
                                <w:rFonts w:ascii="Verdana" w:eastAsiaTheme="minorEastAsia" w:hAnsi="Verdana"/>
                                <w:b/>
                                <w:sz w:val="16"/>
                                <w:szCs w:val="20"/>
                                <w:lang w:val="en-CA" w:eastAsia="zh-CN"/>
                              </w:rPr>
                              <w:t xml:space="preserve"> </w:t>
                            </w:r>
                            <w:r w:rsidRPr="001C3921">
                              <w:rPr>
                                <w:rFonts w:ascii="Verdana" w:eastAsiaTheme="minorEastAsia" w:hAnsi="Verdana"/>
                                <w:b/>
                                <w:sz w:val="16"/>
                                <w:szCs w:val="20"/>
                                <w:lang w:val="en-CA" w:eastAsia="zh-CN"/>
                              </w:rPr>
                              <w:t>MD MSc</w:t>
                            </w:r>
                          </w:p>
                          <w:p w14:paraId="1D5BA07C" w14:textId="3B5E6697" w:rsidR="00C117A8" w:rsidRPr="001C3921" w:rsidRDefault="00231C48" w:rsidP="000315E8">
                            <w:pPr>
                              <w:spacing w:after="0" w:line="240" w:lineRule="auto"/>
                              <w:rPr>
                                <w:rFonts w:ascii="Verdana" w:hAnsi="Verdana"/>
                                <w:i/>
                                <w:sz w:val="16"/>
                                <w:szCs w:val="20"/>
                                <w:vertAlign w:val="superscript"/>
                              </w:rPr>
                            </w:pPr>
                            <w:r w:rsidRPr="001C3921">
                              <w:rPr>
                                <w:rFonts w:ascii="Verdana" w:hAnsi="Verdana"/>
                                <w:i/>
                                <w:sz w:val="16"/>
                                <w:szCs w:val="20"/>
                              </w:rPr>
                              <w:t xml:space="preserve">Department of Internal Medicine, Max </w:t>
                            </w:r>
                            <w:proofErr w:type="spellStart"/>
                            <w:r w:rsidRPr="001C3921">
                              <w:rPr>
                                <w:rFonts w:ascii="Verdana" w:hAnsi="Verdana"/>
                                <w:i/>
                                <w:sz w:val="16"/>
                                <w:szCs w:val="20"/>
                              </w:rPr>
                              <w:t>Rady</w:t>
                            </w:r>
                            <w:proofErr w:type="spellEnd"/>
                            <w:r w:rsidRPr="001C3921">
                              <w:rPr>
                                <w:rFonts w:ascii="Verdana" w:hAnsi="Verdana"/>
                                <w:i/>
                                <w:sz w:val="16"/>
                                <w:szCs w:val="20"/>
                              </w:rPr>
                              <w:t xml:space="preserve"> College of Medicine, University of Manitoba</w:t>
                            </w:r>
                            <w:r w:rsidR="000315E8" w:rsidRPr="001C3921">
                              <w:rPr>
                                <w:rFonts w:ascii="Verdana" w:hAnsi="Verdana"/>
                                <w:i/>
                                <w:sz w:val="16"/>
                                <w:szCs w:val="20"/>
                              </w:rPr>
                              <w:t>;</w:t>
                            </w:r>
                            <w:r w:rsidR="000315E8" w:rsidRPr="001C3921">
                              <w:rPr>
                                <w:rFonts w:ascii="Verdana" w:hAnsi="Verdana"/>
                                <w:i/>
                                <w:sz w:val="16"/>
                                <w:szCs w:val="20"/>
                                <w:vertAlign w:val="superscript"/>
                              </w:rPr>
                              <w:t xml:space="preserve"> </w:t>
                            </w:r>
                            <w:r w:rsidRPr="001C3921">
                              <w:rPr>
                                <w:rFonts w:ascii="Verdana" w:hAnsi="Verdana"/>
                                <w:i/>
                                <w:sz w:val="16"/>
                                <w:szCs w:val="20"/>
                              </w:rPr>
                              <w:t xml:space="preserve">Department of Medical Oncology and </w:t>
                            </w:r>
                            <w:r w:rsidR="000315E8" w:rsidRPr="001C3921">
                              <w:rPr>
                                <w:rFonts w:ascii="Verdana" w:hAnsi="Verdana"/>
                                <w:i/>
                                <w:sz w:val="16"/>
                                <w:szCs w:val="20"/>
                              </w:rPr>
                              <w:t>H</w:t>
                            </w:r>
                            <w:r w:rsidRPr="001C3921">
                              <w:rPr>
                                <w:rFonts w:ascii="Verdana" w:hAnsi="Verdana"/>
                                <w:i/>
                                <w:sz w:val="16"/>
                                <w:szCs w:val="20"/>
                              </w:rPr>
                              <w:t xml:space="preserve">ematology, </w:t>
                            </w:r>
                            <w:proofErr w:type="spellStart"/>
                            <w:r w:rsidRPr="001C3921">
                              <w:rPr>
                                <w:rFonts w:ascii="Verdana" w:hAnsi="Verdana"/>
                                <w:i/>
                                <w:sz w:val="16"/>
                                <w:szCs w:val="20"/>
                              </w:rPr>
                              <w:t>C</w:t>
                            </w:r>
                            <w:r w:rsidR="000315E8" w:rsidRPr="001C3921">
                              <w:rPr>
                                <w:rFonts w:ascii="Verdana" w:hAnsi="Verdana"/>
                                <w:i/>
                                <w:sz w:val="16"/>
                                <w:szCs w:val="20"/>
                              </w:rPr>
                              <w:t>ancerCare</w:t>
                            </w:r>
                            <w:proofErr w:type="spellEnd"/>
                            <w:r w:rsidR="000315E8" w:rsidRPr="001C3921">
                              <w:rPr>
                                <w:rFonts w:ascii="Verdana" w:hAnsi="Verdana"/>
                                <w:i/>
                                <w:sz w:val="16"/>
                                <w:szCs w:val="20"/>
                              </w:rPr>
                              <w:t xml:space="preserve"> Manitoba</w:t>
                            </w:r>
                            <w:r w:rsidR="000315E8" w:rsidRPr="001C3921">
                              <w:rPr>
                                <w:rFonts w:ascii="Verdana" w:hAnsi="Verdana"/>
                                <w:i/>
                                <w:sz w:val="16"/>
                                <w:szCs w:val="20"/>
                                <w:vertAlign w:val="superscript"/>
                              </w:rPr>
                              <w:t xml:space="preserve">; </w:t>
                            </w:r>
                            <w:r w:rsidRPr="001C3921">
                              <w:rPr>
                                <w:rFonts w:ascii="Verdana" w:hAnsi="Verdana"/>
                                <w:i/>
                                <w:sz w:val="16"/>
                                <w:szCs w:val="20"/>
                              </w:rPr>
                              <w:t>Research Institute in Oncology and Hema</w:t>
                            </w:r>
                            <w:r w:rsidR="000315E8" w:rsidRPr="001C3921">
                              <w:rPr>
                                <w:rFonts w:ascii="Verdana" w:hAnsi="Verdana"/>
                                <w:i/>
                                <w:sz w:val="16"/>
                                <w:szCs w:val="20"/>
                              </w:rPr>
                              <w:t xml:space="preserve">tology, </w:t>
                            </w:r>
                            <w:proofErr w:type="spellStart"/>
                            <w:r w:rsidR="000315E8" w:rsidRPr="001C3921">
                              <w:rPr>
                                <w:rFonts w:ascii="Verdana" w:hAnsi="Verdana"/>
                                <w:i/>
                                <w:sz w:val="16"/>
                                <w:szCs w:val="20"/>
                              </w:rPr>
                              <w:t>CancerCare</w:t>
                            </w:r>
                            <w:proofErr w:type="spellEnd"/>
                            <w:r w:rsidR="000315E8" w:rsidRPr="001C3921">
                              <w:rPr>
                                <w:rFonts w:ascii="Verdana" w:hAnsi="Verdana"/>
                                <w:i/>
                                <w:sz w:val="16"/>
                                <w:szCs w:val="20"/>
                              </w:rPr>
                              <w:t xml:space="preserve"> Manitoba</w:t>
                            </w:r>
                          </w:p>
                          <w:p w14:paraId="5F2868AC" w14:textId="77777777" w:rsidR="00231C48" w:rsidRPr="001C3921" w:rsidRDefault="00231C48" w:rsidP="000315E8">
                            <w:pPr>
                              <w:spacing w:after="0" w:line="240" w:lineRule="auto"/>
                              <w:rPr>
                                <w:rFonts w:ascii="Verdana" w:hAnsi="Verdana"/>
                                <w:i/>
                                <w:sz w:val="16"/>
                                <w:szCs w:val="20"/>
                              </w:rPr>
                            </w:pPr>
                          </w:p>
                          <w:p w14:paraId="2C446E18" w14:textId="66E0B42E" w:rsidR="00231C48" w:rsidRPr="001C3921" w:rsidRDefault="00231C48" w:rsidP="000315E8">
                            <w:pPr>
                              <w:spacing w:after="0" w:line="240" w:lineRule="auto"/>
                              <w:rPr>
                                <w:rFonts w:ascii="Verdana" w:eastAsiaTheme="minorEastAsia" w:hAnsi="Verdana"/>
                                <w:b/>
                                <w:sz w:val="18"/>
                                <w:szCs w:val="20"/>
                                <w:vertAlign w:val="superscript"/>
                                <w:lang w:val="en-CA" w:eastAsia="zh-CN"/>
                              </w:rPr>
                            </w:pPr>
                            <w:r w:rsidRPr="001C3921">
                              <w:rPr>
                                <w:rFonts w:ascii="Verdana" w:eastAsiaTheme="minorEastAsia" w:hAnsi="Verdana"/>
                                <w:b/>
                                <w:sz w:val="16"/>
                                <w:szCs w:val="20"/>
                                <w:lang w:val="en-CA" w:eastAsia="zh-CN"/>
                              </w:rPr>
                              <w:t xml:space="preserve">Carlo </w:t>
                            </w:r>
                            <w:proofErr w:type="spellStart"/>
                            <w:r w:rsidRPr="001C3921">
                              <w:rPr>
                                <w:rFonts w:ascii="Verdana" w:eastAsiaTheme="minorEastAsia" w:hAnsi="Verdana"/>
                                <w:b/>
                                <w:sz w:val="16"/>
                                <w:szCs w:val="20"/>
                                <w:lang w:val="en-CA" w:eastAsia="zh-CN"/>
                              </w:rPr>
                              <w:t>DeAngelis</w:t>
                            </w:r>
                            <w:proofErr w:type="spellEnd"/>
                          </w:p>
                          <w:p w14:paraId="58405FDD" w14:textId="7D46E02C" w:rsidR="00231C48" w:rsidRPr="001C3921" w:rsidRDefault="00231C48" w:rsidP="000315E8">
                            <w:pPr>
                              <w:spacing w:after="0" w:line="240" w:lineRule="auto"/>
                              <w:rPr>
                                <w:rFonts w:ascii="Verdana" w:eastAsiaTheme="minorEastAsia" w:hAnsi="Verdana"/>
                                <w:i/>
                                <w:sz w:val="16"/>
                                <w:szCs w:val="20"/>
                                <w:vertAlign w:val="superscript"/>
                                <w:lang w:val="en-CA" w:eastAsia="zh-CN"/>
                              </w:rPr>
                            </w:pPr>
                            <w:r w:rsidRPr="001C3921">
                              <w:rPr>
                                <w:rFonts w:ascii="Verdana" w:eastAsiaTheme="minorEastAsia" w:hAnsi="Verdana"/>
                                <w:i/>
                                <w:sz w:val="16"/>
                                <w:szCs w:val="20"/>
                                <w:lang w:val="en-CA" w:eastAsia="zh-CN"/>
                              </w:rPr>
                              <w:t>Department of Pharmacy, Odette Cancer Centre, Sunnybrook Health Sciences Centre, Toronto, ON</w:t>
                            </w:r>
                            <w:r w:rsidR="000315E8" w:rsidRPr="001C3921">
                              <w:rPr>
                                <w:rFonts w:ascii="Verdana" w:eastAsiaTheme="minorEastAsia" w:hAnsi="Verdana"/>
                                <w:i/>
                                <w:sz w:val="16"/>
                                <w:szCs w:val="20"/>
                                <w:lang w:val="en-CA" w:eastAsia="zh-CN"/>
                              </w:rPr>
                              <w:t xml:space="preserve">; </w:t>
                            </w:r>
                            <w:r w:rsidRPr="001C3921">
                              <w:rPr>
                                <w:rFonts w:ascii="Verdana" w:eastAsiaTheme="minorEastAsia" w:hAnsi="Verdana"/>
                                <w:i/>
                                <w:sz w:val="16"/>
                                <w:szCs w:val="20"/>
                                <w:lang w:val="en-CA" w:eastAsia="zh-CN"/>
                              </w:rPr>
                              <w:t xml:space="preserve">Leslie Dan Faculty of </w:t>
                            </w:r>
                            <w:r w:rsidR="00500108" w:rsidRPr="001C3921">
                              <w:rPr>
                                <w:rFonts w:ascii="Verdana" w:eastAsiaTheme="minorEastAsia" w:hAnsi="Verdana"/>
                                <w:i/>
                                <w:sz w:val="16"/>
                                <w:szCs w:val="20"/>
                                <w:lang w:val="en-CA" w:eastAsia="zh-CN"/>
                              </w:rPr>
                              <w:t>Pharmacy, University of Toronto</w:t>
                            </w:r>
                          </w:p>
                          <w:p w14:paraId="38AA96A0" w14:textId="77777777" w:rsidR="00231C48" w:rsidRPr="001C3921" w:rsidRDefault="00231C48" w:rsidP="000315E8">
                            <w:pPr>
                              <w:spacing w:after="0" w:line="240" w:lineRule="auto"/>
                              <w:rPr>
                                <w:rFonts w:ascii="Verdana" w:eastAsiaTheme="minorEastAsia" w:hAnsi="Verdana"/>
                                <w:i/>
                                <w:sz w:val="16"/>
                                <w:szCs w:val="20"/>
                                <w:vertAlign w:val="superscript"/>
                                <w:lang w:val="en-CA" w:eastAsia="zh-CN"/>
                              </w:rPr>
                            </w:pPr>
                          </w:p>
                          <w:p w14:paraId="03613CD7" w14:textId="2312F4D1" w:rsidR="00231C48" w:rsidRPr="001C3921" w:rsidRDefault="00231C48" w:rsidP="000315E8">
                            <w:pPr>
                              <w:spacing w:after="0" w:line="240" w:lineRule="auto"/>
                              <w:rPr>
                                <w:rFonts w:ascii="Verdana" w:eastAsiaTheme="minorEastAsia" w:hAnsi="Verdana"/>
                                <w:b/>
                                <w:sz w:val="16"/>
                                <w:szCs w:val="20"/>
                                <w:lang w:val="en-CA" w:eastAsia="zh-CN"/>
                              </w:rPr>
                            </w:pPr>
                            <w:r w:rsidRPr="001C3921">
                              <w:rPr>
                                <w:rFonts w:ascii="Verdana" w:eastAsiaTheme="minorEastAsia" w:hAnsi="Verdana"/>
                                <w:b/>
                                <w:sz w:val="16"/>
                                <w:szCs w:val="20"/>
                                <w:lang w:val="en-CA" w:eastAsia="zh-CN"/>
                              </w:rPr>
                              <w:t>Jarred Rosenberg</w:t>
                            </w:r>
                          </w:p>
                          <w:p w14:paraId="4467A6DF" w14:textId="2946C115" w:rsidR="00231C48" w:rsidRPr="001C3921" w:rsidRDefault="00231C48" w:rsidP="000315E8">
                            <w:pPr>
                              <w:spacing w:after="0" w:line="240" w:lineRule="auto"/>
                              <w:rPr>
                                <w:rFonts w:ascii="Verdana" w:eastAsiaTheme="minorEastAsia" w:hAnsi="Verdana"/>
                                <w:b/>
                                <w:i/>
                                <w:iCs/>
                                <w:sz w:val="14"/>
                                <w:szCs w:val="20"/>
                                <w:lang w:val="en-CA" w:eastAsia="zh-CN"/>
                              </w:rPr>
                            </w:pPr>
                            <w:r w:rsidRPr="001C3921">
                              <w:rPr>
                                <w:rFonts w:ascii="Verdana" w:eastAsia="Calibri" w:hAnsi="Verdana"/>
                                <w:i/>
                                <w:iCs/>
                                <w:sz w:val="16"/>
                              </w:rPr>
                              <w:t xml:space="preserve">Michael </w:t>
                            </w:r>
                            <w:proofErr w:type="spellStart"/>
                            <w:r w:rsidRPr="001C3921">
                              <w:rPr>
                                <w:rFonts w:ascii="Verdana" w:eastAsia="Calibri" w:hAnsi="Verdana"/>
                                <w:i/>
                                <w:iCs/>
                                <w:sz w:val="16"/>
                              </w:rPr>
                              <w:t>Garron</w:t>
                            </w:r>
                            <w:proofErr w:type="spellEnd"/>
                            <w:r w:rsidRPr="001C3921">
                              <w:rPr>
                                <w:rFonts w:ascii="Verdana" w:eastAsia="Calibri" w:hAnsi="Verdana"/>
                                <w:i/>
                                <w:iCs/>
                                <w:sz w:val="16"/>
                              </w:rPr>
                              <w:t xml:space="preserve"> Hospital, Toronto, ON</w:t>
                            </w:r>
                          </w:p>
                          <w:p w14:paraId="57799DA4" w14:textId="77777777" w:rsidR="00231C48" w:rsidRPr="001C3921" w:rsidRDefault="00231C48" w:rsidP="000315E8">
                            <w:pPr>
                              <w:spacing w:after="0" w:line="240" w:lineRule="auto"/>
                              <w:rPr>
                                <w:rFonts w:ascii="Verdana" w:hAnsi="Verdana"/>
                                <w:b/>
                                <w:sz w:val="20"/>
                              </w:rPr>
                            </w:pPr>
                          </w:p>
                          <w:p w14:paraId="6FA1743E" w14:textId="7770CF04" w:rsidR="00231C48" w:rsidRPr="001C3921" w:rsidRDefault="00231C48" w:rsidP="000315E8">
                            <w:pPr>
                              <w:spacing w:after="0" w:line="240" w:lineRule="auto"/>
                              <w:rPr>
                                <w:rFonts w:ascii="Verdana" w:hAnsi="Verdana"/>
                                <w:b/>
                                <w:sz w:val="16"/>
                              </w:rPr>
                            </w:pPr>
                            <w:r w:rsidRPr="001C3921">
                              <w:rPr>
                                <w:rFonts w:ascii="Verdana" w:hAnsi="Verdana"/>
                                <w:b/>
                                <w:sz w:val="16"/>
                              </w:rPr>
                              <w:t xml:space="preserve">Fay J </w:t>
                            </w:r>
                            <w:proofErr w:type="spellStart"/>
                            <w:r w:rsidRPr="001C3921">
                              <w:rPr>
                                <w:rFonts w:ascii="Verdana" w:hAnsi="Verdana"/>
                                <w:b/>
                                <w:sz w:val="16"/>
                              </w:rPr>
                              <w:t>Strohschein</w:t>
                            </w:r>
                            <w:proofErr w:type="spellEnd"/>
                            <w:r w:rsidR="001663C3">
                              <w:rPr>
                                <w:rFonts w:ascii="Verdana" w:hAnsi="Verdana"/>
                                <w:b/>
                                <w:sz w:val="16"/>
                              </w:rPr>
                              <w:t xml:space="preserve"> </w:t>
                            </w:r>
                            <w:r w:rsidRPr="001C3921">
                              <w:rPr>
                                <w:rFonts w:ascii="Verdana" w:hAnsi="Verdana"/>
                                <w:b/>
                                <w:sz w:val="16"/>
                              </w:rPr>
                              <w:t>RN PhD</w:t>
                            </w:r>
                          </w:p>
                          <w:p w14:paraId="1FF55C4C" w14:textId="6F244F31" w:rsidR="00231C48" w:rsidRPr="001C3921" w:rsidRDefault="00500108" w:rsidP="000315E8">
                            <w:pPr>
                              <w:spacing w:after="0" w:line="240" w:lineRule="auto"/>
                              <w:rPr>
                                <w:rFonts w:ascii="Verdana" w:eastAsia="Calibri" w:hAnsi="Verdana"/>
                                <w:i/>
                                <w:iCs/>
                                <w:sz w:val="16"/>
                                <w:szCs w:val="16"/>
                              </w:rPr>
                            </w:pPr>
                            <w:r w:rsidRPr="001C3921">
                              <w:rPr>
                                <w:rFonts w:ascii="Verdana" w:eastAsia="Calibri" w:hAnsi="Verdana"/>
                                <w:i/>
                                <w:iCs/>
                                <w:sz w:val="16"/>
                                <w:szCs w:val="16"/>
                              </w:rPr>
                              <w:t>Jewish General Hospital</w:t>
                            </w:r>
                            <w:r w:rsidR="00231C48" w:rsidRPr="001C3921">
                              <w:rPr>
                                <w:rFonts w:ascii="Verdana" w:eastAsia="Calibri" w:hAnsi="Verdana"/>
                                <w:i/>
                                <w:iCs/>
                                <w:sz w:val="16"/>
                                <w:szCs w:val="16"/>
                              </w:rPr>
                              <w:t xml:space="preserve">, </w:t>
                            </w:r>
                            <w:r w:rsidRPr="001C3921">
                              <w:rPr>
                                <w:rFonts w:ascii="Verdana" w:eastAsia="Calibri" w:hAnsi="Verdana"/>
                                <w:i/>
                                <w:iCs/>
                                <w:sz w:val="16"/>
                                <w:szCs w:val="16"/>
                              </w:rPr>
                              <w:t xml:space="preserve">Montreal, </w:t>
                            </w:r>
                            <w:r w:rsidR="00231C48" w:rsidRPr="001C3921">
                              <w:rPr>
                                <w:rFonts w:ascii="Verdana" w:eastAsia="Calibri" w:hAnsi="Verdana"/>
                                <w:i/>
                                <w:iCs/>
                                <w:sz w:val="16"/>
                                <w:szCs w:val="16"/>
                              </w:rPr>
                              <w:t>Quebec</w:t>
                            </w:r>
                          </w:p>
                          <w:p w14:paraId="22E28722" w14:textId="77777777" w:rsidR="00231C48" w:rsidRPr="001C3921" w:rsidRDefault="00231C48" w:rsidP="000315E8">
                            <w:pPr>
                              <w:spacing w:after="0" w:line="240" w:lineRule="auto"/>
                              <w:rPr>
                                <w:rFonts w:ascii="Verdana" w:eastAsia="Calibri" w:hAnsi="Verdana"/>
                                <w:sz w:val="14"/>
                                <w:szCs w:val="16"/>
                              </w:rPr>
                            </w:pPr>
                          </w:p>
                          <w:p w14:paraId="6766EDAE" w14:textId="5EFF02AF" w:rsidR="00231C48" w:rsidRPr="001C3921" w:rsidRDefault="00231C48" w:rsidP="000315E8">
                            <w:pPr>
                              <w:spacing w:after="0" w:line="240" w:lineRule="auto"/>
                              <w:rPr>
                                <w:rFonts w:ascii="Verdana" w:hAnsi="Verdana"/>
                                <w:b/>
                                <w:sz w:val="18"/>
                                <w:szCs w:val="20"/>
                                <w:vertAlign w:val="superscript"/>
                              </w:rPr>
                            </w:pPr>
                            <w:r w:rsidRPr="001C3921">
                              <w:rPr>
                                <w:rFonts w:ascii="Verdana" w:hAnsi="Verdana"/>
                                <w:b/>
                                <w:sz w:val="16"/>
                                <w:szCs w:val="20"/>
                              </w:rPr>
                              <w:t>Ewa Szumacher</w:t>
                            </w:r>
                          </w:p>
                          <w:p w14:paraId="72B90D3E" w14:textId="5BD623B3" w:rsidR="000315E8" w:rsidRPr="001C3921" w:rsidRDefault="00231C48" w:rsidP="000315E8">
                            <w:pPr>
                              <w:spacing w:after="0" w:line="240" w:lineRule="auto"/>
                              <w:rPr>
                                <w:rFonts w:ascii="Verdana" w:hAnsi="Verdana"/>
                                <w:i/>
                                <w:sz w:val="16"/>
                                <w:szCs w:val="20"/>
                              </w:rPr>
                            </w:pPr>
                            <w:r w:rsidRPr="001C3921">
                              <w:rPr>
                                <w:rFonts w:ascii="Verdana" w:hAnsi="Verdana"/>
                                <w:i/>
                                <w:sz w:val="16"/>
                                <w:szCs w:val="20"/>
                              </w:rPr>
                              <w:t>Department of Radiation Oncology, Faculty of M</w:t>
                            </w:r>
                            <w:r w:rsidR="00500108" w:rsidRPr="001C3921">
                              <w:rPr>
                                <w:rFonts w:ascii="Verdana" w:hAnsi="Verdana"/>
                                <w:i/>
                                <w:sz w:val="16"/>
                                <w:szCs w:val="20"/>
                              </w:rPr>
                              <w:t>edicine, University of Toronto</w:t>
                            </w:r>
                            <w:r w:rsidR="00500108" w:rsidRPr="001C3921">
                              <w:rPr>
                                <w:rFonts w:ascii="Verdana" w:hAnsi="Verdana"/>
                                <w:i/>
                                <w:sz w:val="16"/>
                                <w:szCs w:val="20"/>
                              </w:rPr>
                              <w:br/>
                            </w:r>
                          </w:p>
                          <w:p w14:paraId="403DE5FB" w14:textId="41248369" w:rsidR="000315E8" w:rsidRPr="001C3921" w:rsidRDefault="000315E8" w:rsidP="000315E8">
                            <w:pPr>
                              <w:spacing w:after="0" w:line="240" w:lineRule="auto"/>
                              <w:rPr>
                                <w:rFonts w:ascii="Verdana" w:hAnsi="Verdana"/>
                                <w:b/>
                                <w:sz w:val="16"/>
                                <w:szCs w:val="20"/>
                              </w:rPr>
                            </w:pPr>
                            <w:r w:rsidRPr="001C3921">
                              <w:rPr>
                                <w:rFonts w:ascii="Verdana" w:hAnsi="Verdana"/>
                                <w:b/>
                                <w:sz w:val="16"/>
                                <w:szCs w:val="20"/>
                              </w:rPr>
                              <w:t xml:space="preserve">Daniel W </w:t>
                            </w:r>
                            <w:proofErr w:type="spellStart"/>
                            <w:r w:rsidRPr="001C3921">
                              <w:rPr>
                                <w:rFonts w:ascii="Verdana" w:hAnsi="Verdana"/>
                                <w:b/>
                                <w:sz w:val="16"/>
                                <w:szCs w:val="20"/>
                              </w:rPr>
                              <w:t>Yokum</w:t>
                            </w:r>
                            <w:proofErr w:type="spellEnd"/>
                          </w:p>
                          <w:p w14:paraId="21AC9BBD" w14:textId="30D236E0" w:rsidR="000315E8" w:rsidRPr="001C3921" w:rsidRDefault="000315E8" w:rsidP="000315E8">
                            <w:pPr>
                              <w:spacing w:after="0" w:line="240" w:lineRule="auto"/>
                              <w:rPr>
                                <w:rFonts w:ascii="Verdana" w:hAnsi="Verdana"/>
                                <w:i/>
                                <w:sz w:val="16"/>
                                <w:szCs w:val="20"/>
                                <w:vertAlign w:val="superscript"/>
                              </w:rPr>
                            </w:pPr>
                            <w:r w:rsidRPr="001C3921">
                              <w:rPr>
                                <w:rFonts w:ascii="Verdana" w:hAnsi="Verdana"/>
                                <w:i/>
                                <w:sz w:val="16"/>
                                <w:szCs w:val="20"/>
                              </w:rPr>
                              <w:t>Department of Medicine, University Health Network</w:t>
                            </w:r>
                          </w:p>
                          <w:p w14:paraId="75DF550F" w14:textId="77777777" w:rsidR="000315E8" w:rsidRPr="001C3921" w:rsidRDefault="000315E8" w:rsidP="000315E8">
                            <w:pPr>
                              <w:spacing w:after="0" w:line="240" w:lineRule="auto"/>
                              <w:rPr>
                                <w:rFonts w:ascii="Verdana" w:hAnsi="Verdana"/>
                                <w:i/>
                                <w:sz w:val="16"/>
                                <w:szCs w:val="20"/>
                              </w:rPr>
                            </w:pPr>
                          </w:p>
                          <w:p w14:paraId="13CF1185" w14:textId="0B900027" w:rsidR="000315E8" w:rsidRPr="001C3921" w:rsidRDefault="00E110C2" w:rsidP="000315E8">
                            <w:pPr>
                              <w:spacing w:after="0" w:line="240" w:lineRule="auto"/>
                              <w:rPr>
                                <w:rFonts w:ascii="Verdana" w:hAnsi="Verdana"/>
                                <w:b/>
                                <w:sz w:val="14"/>
                                <w:szCs w:val="20"/>
                              </w:rPr>
                            </w:pPr>
                            <w:r w:rsidRPr="001C3921">
                              <w:rPr>
                                <w:rFonts w:ascii="Verdana" w:eastAsia="Calibri" w:hAnsi="Verdana"/>
                                <w:b/>
                                <w:sz w:val="16"/>
                              </w:rPr>
                              <w:t>Martine TE Puts</w:t>
                            </w:r>
                            <w:r w:rsidR="00500108" w:rsidRPr="001C3921">
                              <w:rPr>
                                <w:rFonts w:ascii="Verdana" w:eastAsia="Calibri" w:hAnsi="Verdana"/>
                                <w:b/>
                                <w:sz w:val="16"/>
                              </w:rPr>
                              <w:t xml:space="preserve"> </w:t>
                            </w:r>
                            <w:r w:rsidRPr="001C3921">
                              <w:rPr>
                                <w:rFonts w:ascii="Verdana" w:eastAsia="Calibri" w:hAnsi="Verdana"/>
                                <w:b/>
                                <w:sz w:val="16"/>
                              </w:rPr>
                              <w:t>PhD RN</w:t>
                            </w:r>
                          </w:p>
                          <w:p w14:paraId="09DFD28B" w14:textId="2E62844D" w:rsidR="00C117A8" w:rsidRPr="001C3921" w:rsidRDefault="00E110C2" w:rsidP="000315E8">
                            <w:pPr>
                              <w:spacing w:after="0" w:line="240" w:lineRule="auto"/>
                              <w:rPr>
                                <w:rFonts w:ascii="Verdana" w:hAnsi="Verdana"/>
                                <w:i/>
                                <w:sz w:val="16"/>
                                <w:szCs w:val="20"/>
                                <w:vertAlign w:val="superscript"/>
                              </w:rPr>
                            </w:pPr>
                            <w:r w:rsidRPr="001C3921">
                              <w:rPr>
                                <w:rFonts w:ascii="Verdana" w:hAnsi="Verdana"/>
                                <w:i/>
                                <w:sz w:val="16"/>
                                <w:szCs w:val="20"/>
                              </w:rPr>
                              <w:t>Lawrence S. Bloomberg Faculty of Nursing, University of Toronto</w:t>
                            </w:r>
                          </w:p>
                          <w:p w14:paraId="6A9CCCF3" w14:textId="77777777" w:rsidR="00500108" w:rsidRPr="001C3921" w:rsidRDefault="00500108" w:rsidP="000315E8">
                            <w:pPr>
                              <w:spacing w:after="0" w:line="240" w:lineRule="auto"/>
                              <w:rPr>
                                <w:rFonts w:ascii="Verdana" w:hAnsi="Verdana"/>
                                <w:i/>
                                <w:sz w:val="16"/>
                                <w:szCs w:val="20"/>
                              </w:rPr>
                            </w:pPr>
                          </w:p>
                          <w:p w14:paraId="1C6F77CC" w14:textId="147A574A" w:rsidR="00500108" w:rsidRPr="001C3921" w:rsidRDefault="00500108" w:rsidP="000315E8">
                            <w:pPr>
                              <w:spacing w:after="0" w:line="240" w:lineRule="auto"/>
                              <w:rPr>
                                <w:rFonts w:ascii="Verdana" w:hAnsi="Verdana"/>
                                <w:b/>
                                <w:sz w:val="16"/>
                                <w:szCs w:val="20"/>
                                <w:vertAlign w:val="superscript"/>
                              </w:rPr>
                            </w:pPr>
                            <w:r w:rsidRPr="001C3921">
                              <w:rPr>
                                <w:rFonts w:ascii="Verdana" w:hAnsi="Verdana"/>
                                <w:b/>
                                <w:sz w:val="16"/>
                                <w:szCs w:val="20"/>
                              </w:rPr>
                              <w:t>Shabbir MH Alibhai, MD MSc</w:t>
                            </w:r>
                          </w:p>
                          <w:p w14:paraId="7B5387B3" w14:textId="34737924" w:rsidR="00500108" w:rsidRPr="001C3921" w:rsidRDefault="00500108" w:rsidP="000315E8">
                            <w:pPr>
                              <w:spacing w:after="0" w:line="240" w:lineRule="auto"/>
                              <w:rPr>
                                <w:rFonts w:ascii="Verdana" w:hAnsi="Verdana"/>
                                <w:i/>
                                <w:sz w:val="16"/>
                                <w:szCs w:val="20"/>
                              </w:rPr>
                            </w:pPr>
                            <w:r w:rsidRPr="001C3921">
                              <w:rPr>
                                <w:rFonts w:ascii="Verdana" w:hAnsi="Verdana"/>
                                <w:i/>
                                <w:sz w:val="16"/>
                                <w:szCs w:val="20"/>
                              </w:rPr>
                              <w:t>Department of Medicine, University Health Network</w:t>
                            </w:r>
                          </w:p>
                          <w:p w14:paraId="4E89DFE1" w14:textId="73A4D701" w:rsidR="00500108" w:rsidRPr="001C3921" w:rsidRDefault="00500108" w:rsidP="000315E8">
                            <w:pPr>
                              <w:spacing w:line="240" w:lineRule="auto"/>
                              <w:ind w:right="-49"/>
                              <w:rPr>
                                <w:rFonts w:ascii="Verdana" w:hAnsi="Verdana"/>
                                <w:b/>
                                <w:sz w:val="18"/>
                                <w:szCs w:val="20"/>
                              </w:rPr>
                            </w:pPr>
                            <w:r w:rsidRPr="001C3921">
                              <w:rPr>
                                <w:rFonts w:ascii="Verdana" w:hAnsi="Verdana"/>
                                <w:b/>
                                <w:sz w:val="18"/>
                                <w:szCs w:val="20"/>
                              </w:rPr>
                              <w:br/>
                            </w:r>
                            <w:r w:rsidRPr="001C3921">
                              <w:rPr>
                                <w:rFonts w:ascii="Verdana" w:hAnsi="Verdana"/>
                                <w:b/>
                                <w:sz w:val="16"/>
                                <w:szCs w:val="20"/>
                              </w:rPr>
                              <w:t>Tina Hsu, MD</w:t>
                            </w:r>
                            <w:r w:rsidRPr="001C3921">
                              <w:rPr>
                                <w:rFonts w:ascii="Verdana" w:hAnsi="Verdana"/>
                                <w:b/>
                                <w:sz w:val="18"/>
                                <w:szCs w:val="20"/>
                              </w:rPr>
                              <w:br/>
                            </w:r>
                            <w:r w:rsidRPr="001C3921">
                              <w:rPr>
                                <w:rFonts w:ascii="Verdana" w:eastAsia="Calibri" w:hAnsi="Verdana"/>
                                <w:i/>
                                <w:iCs/>
                                <w:sz w:val="16"/>
                              </w:rPr>
                              <w:t>The Ottawa Hospital Cancer Centre; Division of Medical Oncology, University of Ottawa</w:t>
                            </w:r>
                          </w:p>
                          <w:p w14:paraId="1A5E8C56" w14:textId="77777777" w:rsidR="00C117A8" w:rsidRPr="00500108" w:rsidRDefault="00C117A8" w:rsidP="00500108">
                            <w:pPr>
                              <w:spacing w:line="240" w:lineRule="auto"/>
                              <w:ind w:right="-49"/>
                              <w:rPr>
                                <w:rFonts w:ascii="Verdana" w:hAnsi="Verdana"/>
                                <w:color w:val="C00000"/>
                                <w:sz w:val="16"/>
                                <w:szCs w:val="20"/>
                              </w:rPr>
                            </w:pPr>
                            <w:r w:rsidRPr="00500108">
                              <w:rPr>
                                <w:rFonts w:ascii="Verdana" w:hAnsi="Verdana"/>
                                <w:b/>
                                <w:color w:val="C00000"/>
                                <w:sz w:val="16"/>
                                <w:szCs w:val="20"/>
                              </w:rPr>
                              <w:t xml:space="preserve">Corresponding Author: </w:t>
                            </w:r>
                            <w:r w:rsidRPr="00500108">
                              <w:rPr>
                                <w:rFonts w:ascii="Verdana" w:hAnsi="Verdana"/>
                                <w:b/>
                                <w:color w:val="C00000"/>
                                <w:sz w:val="16"/>
                                <w:szCs w:val="20"/>
                              </w:rPr>
                              <w:br/>
                            </w:r>
                            <w:r w:rsidR="00500108" w:rsidRPr="00500108">
                              <w:rPr>
                                <w:rFonts w:ascii="Verdana" w:hAnsi="Verdana"/>
                                <w:color w:val="C00000"/>
                                <w:sz w:val="16"/>
                                <w:szCs w:val="20"/>
                              </w:rPr>
                              <w:t>Tina Hsu, MD, FRCPC</w:t>
                            </w:r>
                            <w:r w:rsidR="00500108" w:rsidRPr="00500108">
                              <w:rPr>
                                <w:rFonts w:ascii="Verdana" w:hAnsi="Verdana"/>
                                <w:color w:val="C00000"/>
                                <w:sz w:val="16"/>
                                <w:szCs w:val="20"/>
                              </w:rPr>
                              <w:br/>
                              <w:t>Email: thsu@toh.on.ca</w:t>
                            </w:r>
                            <w:r w:rsidR="00500108" w:rsidRPr="00500108">
                              <w:rPr>
                                <w:rFonts w:ascii="Verdana" w:hAnsi="Verdana"/>
                                <w:color w:val="C00000"/>
                                <w:sz w:val="16"/>
                                <w:szCs w:val="20"/>
                              </w:rPr>
                              <w:br/>
                              <w:t>Twitter handle: @</w:t>
                            </w:r>
                            <w:proofErr w:type="spellStart"/>
                            <w:r w:rsidR="00500108" w:rsidRPr="00500108">
                              <w:rPr>
                                <w:rFonts w:ascii="Verdana" w:hAnsi="Verdana"/>
                                <w:color w:val="C00000"/>
                                <w:sz w:val="16"/>
                                <w:szCs w:val="20"/>
                              </w:rPr>
                              <w:t>THsuMD</w:t>
                            </w:r>
                            <w:proofErr w:type="spellEnd"/>
                          </w:p>
                          <w:p w14:paraId="394B4C30" w14:textId="2D427DB9" w:rsidR="00C117A8" w:rsidRDefault="00C117A8" w:rsidP="001C3921">
                            <w:pPr>
                              <w:spacing w:after="0" w:line="240" w:lineRule="auto"/>
                            </w:pPr>
                            <w:r w:rsidRPr="00500108">
                              <w:rPr>
                                <w:rFonts w:ascii="Verdana" w:hAnsi="Verdana"/>
                                <w:b/>
                                <w:sz w:val="16"/>
                                <w:szCs w:val="16"/>
                              </w:rPr>
                              <w:t xml:space="preserve">Key words: </w:t>
                            </w:r>
                            <w:r w:rsidRPr="00500108">
                              <w:rPr>
                                <w:rFonts w:ascii="Verdana" w:hAnsi="Verdana"/>
                                <w:b/>
                                <w:color w:val="C00000"/>
                                <w:sz w:val="16"/>
                                <w:szCs w:val="16"/>
                              </w:rPr>
                              <w:br/>
                            </w:r>
                            <w:r w:rsidRPr="00500108">
                              <w:rPr>
                                <w:rFonts w:ascii="Verdana" w:hAnsi="Verdana"/>
                                <w:sz w:val="16"/>
                                <w:szCs w:val="16"/>
                              </w:rPr>
                              <w:t>Geriatric Oncology, Cancer, Medical Educ</w:t>
                            </w:r>
                            <w:r w:rsidR="00E81764">
                              <w:rPr>
                                <w:rFonts w:ascii="Verdana" w:hAnsi="Verdana"/>
                                <w:sz w:val="16"/>
                                <w:szCs w:val="16"/>
                              </w:rPr>
                              <w:t xml:space="preserve">ation, Continuing Professional </w:t>
                            </w:r>
                            <w:r w:rsidRPr="00500108">
                              <w:rPr>
                                <w:rFonts w:ascii="Verdana" w:hAnsi="Verdana"/>
                                <w:sz w:val="16"/>
                                <w:szCs w:val="16"/>
                              </w:rPr>
                              <w:t xml:space="preserve">Education, </w:t>
                            </w:r>
                            <w:proofErr w:type="spellStart"/>
                            <w:r w:rsidRPr="00500108">
                              <w:rPr>
                                <w:rFonts w:ascii="Verdana" w:hAnsi="Verdana"/>
                                <w:sz w:val="16"/>
                                <w:szCs w:val="16"/>
                              </w:rPr>
                              <w:t>Interprofessional</w:t>
                            </w:r>
                            <w:proofErr w:type="spellEnd"/>
                            <w:r w:rsidR="001C3921">
                              <w:rPr>
                                <w:rFonts w:ascii="Verdana" w:hAnsi="Verdana"/>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F2245" id="_x0000_t202" coordsize="21600,21600" o:spt="202" path="m,l,21600r21600,l21600,xe">
                <v:stroke joinstyle="miter"/>
                <v:path gradientshapeok="t" o:connecttype="rect"/>
              </v:shapetype>
              <v:shape id="Text Box 2" o:spid="_x0000_s1026" type="#_x0000_t202" style="position:absolute;left:0;text-align:left;margin-left:-3.4pt;margin-top:71.8pt;width:189.5pt;height:65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" filled="f" stroked="f">
                <v:textbox>
                  <w:txbxContent>
                    <w:p w14:paraId="6E5B2D70" w14:textId="6A1BA400" w:rsidR="00C117A8" w:rsidRPr="001C3921" w:rsidRDefault="00C117A8" w:rsidP="000315E8">
                      <w:pPr>
                        <w:spacing w:after="0" w:line="240" w:lineRule="auto"/>
                        <w:rPr>
                          <w:rFonts w:ascii="Verdana" w:hAnsi="Verdana"/>
                          <w:sz w:val="16"/>
                          <w:szCs w:val="20"/>
                        </w:rPr>
                      </w:pPr>
                      <w:r w:rsidRPr="001C3921">
                        <w:rPr>
                          <w:rFonts w:ascii="Verdana" w:eastAsiaTheme="minorEastAsia" w:hAnsi="Verdana"/>
                          <w:b/>
                          <w:sz w:val="16"/>
                          <w:szCs w:val="20"/>
                          <w:lang w:val="en-CA" w:eastAsia="zh-CN"/>
                        </w:rPr>
                        <w:t>Tyler R. Chesney</w:t>
                      </w:r>
                      <w:r w:rsidR="00500108" w:rsidRPr="001C3921">
                        <w:rPr>
                          <w:rFonts w:ascii="Verdana" w:eastAsiaTheme="minorEastAsia" w:hAnsi="Verdana"/>
                          <w:b/>
                          <w:sz w:val="16"/>
                          <w:szCs w:val="20"/>
                          <w:lang w:val="en-CA" w:eastAsia="zh-CN"/>
                        </w:rPr>
                        <w:t xml:space="preserve"> </w:t>
                      </w:r>
                      <w:r w:rsidRPr="001C3921">
                        <w:rPr>
                          <w:rFonts w:ascii="Verdana" w:hAnsi="Verdana"/>
                          <w:b/>
                          <w:sz w:val="16"/>
                          <w:szCs w:val="20"/>
                        </w:rPr>
                        <w:t>MD MSc</w:t>
                      </w:r>
                    </w:p>
                    <w:p w14:paraId="3AEB0798" w14:textId="6F816CFA" w:rsidR="00C117A8" w:rsidRPr="001C3921" w:rsidRDefault="00C117A8" w:rsidP="000315E8">
                      <w:pPr>
                        <w:spacing w:after="0" w:line="240" w:lineRule="auto"/>
                        <w:rPr>
                          <w:rFonts w:ascii="Verdana" w:hAnsi="Verdana"/>
                          <w:i/>
                          <w:sz w:val="16"/>
                          <w:szCs w:val="20"/>
                        </w:rPr>
                      </w:pPr>
                      <w:r w:rsidRPr="001C3921">
                        <w:rPr>
                          <w:rFonts w:ascii="Verdana" w:hAnsi="Verdana"/>
                          <w:i/>
                          <w:sz w:val="16"/>
                          <w:szCs w:val="20"/>
                        </w:rPr>
                        <w:t xml:space="preserve">Division of General Surgery, Department of </w:t>
                      </w:r>
                      <w:r w:rsidR="00231C48" w:rsidRPr="001C3921">
                        <w:rPr>
                          <w:rFonts w:ascii="Verdana" w:hAnsi="Verdana"/>
                          <w:i/>
                          <w:sz w:val="16"/>
                          <w:szCs w:val="20"/>
                        </w:rPr>
                        <w:t>Surgery, University of Toronto</w:t>
                      </w:r>
                      <w:r w:rsidR="000315E8" w:rsidRPr="001C3921">
                        <w:rPr>
                          <w:rFonts w:ascii="Verdana" w:hAnsi="Verdana"/>
                          <w:i/>
                          <w:sz w:val="16"/>
                          <w:szCs w:val="20"/>
                        </w:rPr>
                        <w:t xml:space="preserve">; </w:t>
                      </w:r>
                      <w:r w:rsidRPr="001C3921">
                        <w:rPr>
                          <w:rFonts w:ascii="Verdana" w:hAnsi="Verdana"/>
                          <w:i/>
                          <w:sz w:val="16"/>
                          <w:szCs w:val="20"/>
                        </w:rPr>
                        <w:t>Division of General Surgery, Department of Surgery, St. Michael’s Hospita</w:t>
                      </w:r>
                      <w:r w:rsidR="000315E8" w:rsidRPr="001C3921">
                        <w:rPr>
                          <w:rFonts w:ascii="Verdana" w:hAnsi="Verdana"/>
                          <w:i/>
                          <w:sz w:val="16"/>
                          <w:szCs w:val="20"/>
                        </w:rPr>
                        <w:t>l</w:t>
                      </w:r>
                    </w:p>
                    <w:p w14:paraId="658F1DF8" w14:textId="2361AD3A" w:rsidR="00C117A8" w:rsidRPr="001C3921" w:rsidRDefault="00C117A8" w:rsidP="000315E8">
                      <w:pPr>
                        <w:spacing w:after="0" w:line="240" w:lineRule="auto"/>
                        <w:rPr>
                          <w:rFonts w:ascii="Verdana" w:hAnsi="Verdana"/>
                          <w:i/>
                          <w:sz w:val="16"/>
                          <w:szCs w:val="20"/>
                        </w:rPr>
                      </w:pPr>
                      <w:r w:rsidRPr="001C3921">
                        <w:rPr>
                          <w:rFonts w:ascii="Verdana" w:hAnsi="Verdana"/>
                          <w:b/>
                          <w:i/>
                          <w:sz w:val="20"/>
                          <w:szCs w:val="20"/>
                        </w:rPr>
                        <w:br/>
                      </w:r>
                      <w:proofErr w:type="spellStart"/>
                      <w:r w:rsidR="00231C48" w:rsidRPr="001C3921">
                        <w:rPr>
                          <w:rFonts w:ascii="Verdana" w:eastAsiaTheme="minorEastAsia" w:hAnsi="Verdana"/>
                          <w:b/>
                          <w:sz w:val="16"/>
                          <w:szCs w:val="20"/>
                          <w:lang w:val="en-CA" w:eastAsia="zh-CN"/>
                        </w:rPr>
                        <w:t>Naser</w:t>
                      </w:r>
                      <w:proofErr w:type="spellEnd"/>
                      <w:r w:rsidR="00231C48" w:rsidRPr="001C3921">
                        <w:rPr>
                          <w:rFonts w:ascii="Verdana" w:eastAsiaTheme="minorEastAsia" w:hAnsi="Verdana"/>
                          <w:b/>
                          <w:sz w:val="16"/>
                          <w:szCs w:val="20"/>
                          <w:lang w:val="en-CA" w:eastAsia="zh-CN"/>
                        </w:rPr>
                        <w:t xml:space="preserve"> </w:t>
                      </w:r>
                      <w:proofErr w:type="spellStart"/>
                      <w:r w:rsidR="00231C48" w:rsidRPr="001C3921">
                        <w:rPr>
                          <w:rFonts w:ascii="Verdana" w:eastAsiaTheme="minorEastAsia" w:hAnsi="Verdana"/>
                          <w:b/>
                          <w:sz w:val="16"/>
                          <w:szCs w:val="20"/>
                          <w:lang w:val="en-CA" w:eastAsia="zh-CN"/>
                        </w:rPr>
                        <w:t>AlQurini</w:t>
                      </w:r>
                      <w:proofErr w:type="spellEnd"/>
                      <w:r w:rsidR="00500108" w:rsidRPr="001C3921">
                        <w:rPr>
                          <w:rFonts w:ascii="Verdana" w:eastAsiaTheme="minorEastAsia" w:hAnsi="Verdana"/>
                          <w:b/>
                          <w:sz w:val="16"/>
                          <w:szCs w:val="20"/>
                          <w:lang w:val="en-CA" w:eastAsia="zh-CN"/>
                        </w:rPr>
                        <w:t xml:space="preserve"> </w:t>
                      </w:r>
                      <w:r w:rsidRPr="001C3921">
                        <w:rPr>
                          <w:rFonts w:ascii="Verdana" w:eastAsiaTheme="minorEastAsia" w:hAnsi="Verdana"/>
                          <w:b/>
                          <w:sz w:val="16"/>
                          <w:szCs w:val="20"/>
                          <w:lang w:val="en-CA" w:eastAsia="zh-CN"/>
                        </w:rPr>
                        <w:t>MD</w:t>
                      </w:r>
                      <w:r w:rsidRPr="001C3921">
                        <w:rPr>
                          <w:rFonts w:ascii="Verdana" w:hAnsi="Verdana"/>
                          <w:sz w:val="20"/>
                          <w:szCs w:val="20"/>
                        </w:rPr>
                        <w:br/>
                      </w:r>
                      <w:r w:rsidR="00231C48" w:rsidRPr="001C3921">
                        <w:rPr>
                          <w:rFonts w:ascii="Verdana" w:hAnsi="Verdana"/>
                          <w:i/>
                          <w:sz w:val="16"/>
                          <w:szCs w:val="20"/>
                        </w:rPr>
                        <w:t>Division of Geriatric Medicine, Department of Medicine, Un</w:t>
                      </w:r>
                      <w:r w:rsidR="000315E8" w:rsidRPr="001C3921">
                        <w:rPr>
                          <w:rFonts w:ascii="Verdana" w:hAnsi="Verdana"/>
                          <w:i/>
                          <w:sz w:val="16"/>
                          <w:szCs w:val="20"/>
                        </w:rPr>
                        <w:t>iversity of Toronto</w:t>
                      </w:r>
                    </w:p>
                    <w:p w14:paraId="3E7DA56F" w14:textId="77777777" w:rsidR="00231C48" w:rsidRPr="001C3921" w:rsidRDefault="00231C48" w:rsidP="000315E8">
                      <w:pPr>
                        <w:spacing w:after="0" w:line="240" w:lineRule="auto"/>
                        <w:rPr>
                          <w:rFonts w:ascii="Verdana" w:hAnsi="Verdana"/>
                          <w:i/>
                          <w:sz w:val="20"/>
                          <w:szCs w:val="20"/>
                        </w:rPr>
                      </w:pPr>
                    </w:p>
                    <w:p w14:paraId="75407434" w14:textId="19C3AC05" w:rsidR="00C117A8" w:rsidRPr="001C3921" w:rsidRDefault="00231C48" w:rsidP="000315E8">
                      <w:pPr>
                        <w:spacing w:after="0" w:line="240" w:lineRule="auto"/>
                        <w:rPr>
                          <w:rFonts w:ascii="Verdana" w:hAnsi="Verdana"/>
                          <w:i/>
                          <w:sz w:val="20"/>
                          <w:szCs w:val="20"/>
                        </w:rPr>
                      </w:pPr>
                      <w:proofErr w:type="spellStart"/>
                      <w:r w:rsidRPr="001C3921">
                        <w:rPr>
                          <w:rFonts w:ascii="Verdana" w:eastAsiaTheme="minorEastAsia" w:hAnsi="Verdana"/>
                          <w:b/>
                          <w:sz w:val="16"/>
                          <w:szCs w:val="20"/>
                          <w:lang w:val="en-CA" w:eastAsia="zh-CN"/>
                        </w:rPr>
                        <w:t>Anupam</w:t>
                      </w:r>
                      <w:proofErr w:type="spellEnd"/>
                      <w:r w:rsidRPr="001C3921">
                        <w:rPr>
                          <w:rFonts w:ascii="Verdana" w:eastAsiaTheme="minorEastAsia" w:hAnsi="Verdana"/>
                          <w:b/>
                          <w:sz w:val="16"/>
                          <w:szCs w:val="20"/>
                          <w:lang w:val="en-CA" w:eastAsia="zh-CN"/>
                        </w:rPr>
                        <w:t xml:space="preserve"> </w:t>
                      </w:r>
                      <w:proofErr w:type="spellStart"/>
                      <w:r w:rsidRPr="001C3921">
                        <w:rPr>
                          <w:rFonts w:ascii="Verdana" w:eastAsiaTheme="minorEastAsia" w:hAnsi="Verdana"/>
                          <w:b/>
                          <w:sz w:val="16"/>
                          <w:szCs w:val="20"/>
                          <w:lang w:val="en-CA" w:eastAsia="zh-CN"/>
                        </w:rPr>
                        <w:t>Batra</w:t>
                      </w:r>
                      <w:proofErr w:type="spellEnd"/>
                      <w:r w:rsidR="00500108" w:rsidRPr="001C3921">
                        <w:rPr>
                          <w:rFonts w:ascii="Verdana" w:eastAsiaTheme="minorEastAsia" w:hAnsi="Verdana"/>
                          <w:b/>
                          <w:sz w:val="16"/>
                          <w:szCs w:val="20"/>
                          <w:lang w:val="en-CA" w:eastAsia="zh-CN"/>
                        </w:rPr>
                        <w:t xml:space="preserve"> </w:t>
                      </w:r>
                      <w:r w:rsidRPr="001C3921">
                        <w:rPr>
                          <w:rFonts w:ascii="Verdana" w:eastAsiaTheme="minorEastAsia" w:hAnsi="Verdana"/>
                          <w:b/>
                          <w:sz w:val="16"/>
                          <w:szCs w:val="20"/>
                          <w:lang w:val="en-CA" w:eastAsia="zh-CN"/>
                        </w:rPr>
                        <w:t>MD</w:t>
                      </w:r>
                      <w:r w:rsidR="00C117A8" w:rsidRPr="001C3921">
                        <w:rPr>
                          <w:rFonts w:ascii="Verdana" w:hAnsi="Verdana"/>
                          <w:sz w:val="20"/>
                          <w:szCs w:val="20"/>
                        </w:rPr>
                        <w:br/>
                      </w:r>
                      <w:r w:rsidR="00500108" w:rsidRPr="001C3921">
                        <w:rPr>
                          <w:rFonts w:ascii="Verdana" w:hAnsi="Verdana"/>
                          <w:i/>
                          <w:sz w:val="16"/>
                          <w:szCs w:val="20"/>
                        </w:rPr>
                        <w:t>Cambridge Memorial Hospital</w:t>
                      </w:r>
                      <w:r w:rsidRPr="001C3921">
                        <w:rPr>
                          <w:rFonts w:ascii="Verdana" w:hAnsi="Verdana"/>
                          <w:i/>
                          <w:sz w:val="16"/>
                          <w:szCs w:val="20"/>
                        </w:rPr>
                        <w:t>, ON</w:t>
                      </w:r>
                    </w:p>
                    <w:p w14:paraId="44B6E9C6" w14:textId="77777777" w:rsidR="00C117A8" w:rsidRPr="001C3921" w:rsidRDefault="00C117A8" w:rsidP="000315E8">
                      <w:pPr>
                        <w:spacing w:after="0" w:line="240" w:lineRule="auto"/>
                        <w:rPr>
                          <w:rFonts w:ascii="Verdana" w:hAnsi="Verdana"/>
                          <w:i/>
                          <w:sz w:val="20"/>
                          <w:szCs w:val="20"/>
                        </w:rPr>
                      </w:pPr>
                    </w:p>
                    <w:p w14:paraId="38332693" w14:textId="02AB02C7" w:rsidR="00231C48" w:rsidRPr="001C3921" w:rsidRDefault="00231C48" w:rsidP="000315E8">
                      <w:pPr>
                        <w:spacing w:after="0" w:line="240" w:lineRule="auto"/>
                        <w:rPr>
                          <w:rFonts w:ascii="Verdana" w:eastAsiaTheme="minorEastAsia" w:hAnsi="Verdana"/>
                          <w:b/>
                          <w:sz w:val="16"/>
                          <w:szCs w:val="20"/>
                          <w:lang w:val="en-CA" w:eastAsia="zh-CN"/>
                        </w:rPr>
                      </w:pPr>
                      <w:r w:rsidRPr="001C3921">
                        <w:rPr>
                          <w:rFonts w:ascii="Verdana" w:eastAsiaTheme="minorEastAsia" w:hAnsi="Verdana"/>
                          <w:b/>
                          <w:sz w:val="16"/>
                          <w:szCs w:val="20"/>
                          <w:lang w:val="en-CA" w:eastAsia="zh-CN"/>
                        </w:rPr>
                        <w:t>David E Dawe</w:t>
                      </w:r>
                      <w:r w:rsidR="00500108" w:rsidRPr="001C3921">
                        <w:rPr>
                          <w:rFonts w:ascii="Verdana" w:eastAsiaTheme="minorEastAsia" w:hAnsi="Verdana"/>
                          <w:b/>
                          <w:sz w:val="16"/>
                          <w:szCs w:val="20"/>
                          <w:lang w:val="en-CA" w:eastAsia="zh-CN"/>
                        </w:rPr>
                        <w:t xml:space="preserve"> </w:t>
                      </w:r>
                      <w:r w:rsidRPr="001C3921">
                        <w:rPr>
                          <w:rFonts w:ascii="Verdana" w:eastAsiaTheme="minorEastAsia" w:hAnsi="Verdana"/>
                          <w:b/>
                          <w:sz w:val="16"/>
                          <w:szCs w:val="20"/>
                          <w:lang w:val="en-CA" w:eastAsia="zh-CN"/>
                        </w:rPr>
                        <w:t>MD MSc</w:t>
                      </w:r>
                    </w:p>
                    <w:p w14:paraId="1D5BA07C" w14:textId="3B5E6697" w:rsidR="00C117A8" w:rsidRPr="001C3921" w:rsidRDefault="00231C48" w:rsidP="000315E8">
                      <w:pPr>
                        <w:spacing w:after="0" w:line="240" w:lineRule="auto"/>
                        <w:rPr>
                          <w:rFonts w:ascii="Verdana" w:hAnsi="Verdana"/>
                          <w:i/>
                          <w:sz w:val="16"/>
                          <w:szCs w:val="20"/>
                          <w:vertAlign w:val="superscript"/>
                        </w:rPr>
                      </w:pPr>
                      <w:r w:rsidRPr="001C3921">
                        <w:rPr>
                          <w:rFonts w:ascii="Verdana" w:hAnsi="Verdana"/>
                          <w:i/>
                          <w:sz w:val="16"/>
                          <w:szCs w:val="20"/>
                        </w:rPr>
                        <w:t xml:space="preserve">Department of Internal Medicine, Max </w:t>
                      </w:r>
                      <w:proofErr w:type="spellStart"/>
                      <w:r w:rsidRPr="001C3921">
                        <w:rPr>
                          <w:rFonts w:ascii="Verdana" w:hAnsi="Verdana"/>
                          <w:i/>
                          <w:sz w:val="16"/>
                          <w:szCs w:val="20"/>
                        </w:rPr>
                        <w:t>Rady</w:t>
                      </w:r>
                      <w:proofErr w:type="spellEnd"/>
                      <w:r w:rsidRPr="001C3921">
                        <w:rPr>
                          <w:rFonts w:ascii="Verdana" w:hAnsi="Verdana"/>
                          <w:i/>
                          <w:sz w:val="16"/>
                          <w:szCs w:val="20"/>
                        </w:rPr>
                        <w:t xml:space="preserve"> College of Medicine, University of Manitoba</w:t>
                      </w:r>
                      <w:r w:rsidR="000315E8" w:rsidRPr="001C3921">
                        <w:rPr>
                          <w:rFonts w:ascii="Verdana" w:hAnsi="Verdana"/>
                          <w:i/>
                          <w:sz w:val="16"/>
                          <w:szCs w:val="20"/>
                        </w:rPr>
                        <w:t>;</w:t>
                      </w:r>
                      <w:r w:rsidR="000315E8" w:rsidRPr="001C3921">
                        <w:rPr>
                          <w:rFonts w:ascii="Verdana" w:hAnsi="Verdana"/>
                          <w:i/>
                          <w:sz w:val="16"/>
                          <w:szCs w:val="20"/>
                          <w:vertAlign w:val="superscript"/>
                        </w:rPr>
                        <w:t xml:space="preserve"> </w:t>
                      </w:r>
                      <w:r w:rsidRPr="001C3921">
                        <w:rPr>
                          <w:rFonts w:ascii="Verdana" w:hAnsi="Verdana"/>
                          <w:i/>
                          <w:sz w:val="16"/>
                          <w:szCs w:val="20"/>
                        </w:rPr>
                        <w:t xml:space="preserve">Department of Medical Oncology and </w:t>
                      </w:r>
                      <w:r w:rsidR="000315E8" w:rsidRPr="001C3921">
                        <w:rPr>
                          <w:rFonts w:ascii="Verdana" w:hAnsi="Verdana"/>
                          <w:i/>
                          <w:sz w:val="16"/>
                          <w:szCs w:val="20"/>
                        </w:rPr>
                        <w:t>H</w:t>
                      </w:r>
                      <w:r w:rsidRPr="001C3921">
                        <w:rPr>
                          <w:rFonts w:ascii="Verdana" w:hAnsi="Verdana"/>
                          <w:i/>
                          <w:sz w:val="16"/>
                          <w:szCs w:val="20"/>
                        </w:rPr>
                        <w:t xml:space="preserve">ematology, </w:t>
                      </w:r>
                      <w:proofErr w:type="spellStart"/>
                      <w:r w:rsidRPr="001C3921">
                        <w:rPr>
                          <w:rFonts w:ascii="Verdana" w:hAnsi="Verdana"/>
                          <w:i/>
                          <w:sz w:val="16"/>
                          <w:szCs w:val="20"/>
                        </w:rPr>
                        <w:t>C</w:t>
                      </w:r>
                      <w:r w:rsidR="000315E8" w:rsidRPr="001C3921">
                        <w:rPr>
                          <w:rFonts w:ascii="Verdana" w:hAnsi="Verdana"/>
                          <w:i/>
                          <w:sz w:val="16"/>
                          <w:szCs w:val="20"/>
                        </w:rPr>
                        <w:t>ancerCare</w:t>
                      </w:r>
                      <w:proofErr w:type="spellEnd"/>
                      <w:r w:rsidR="000315E8" w:rsidRPr="001C3921">
                        <w:rPr>
                          <w:rFonts w:ascii="Verdana" w:hAnsi="Verdana"/>
                          <w:i/>
                          <w:sz w:val="16"/>
                          <w:szCs w:val="20"/>
                        </w:rPr>
                        <w:t xml:space="preserve"> Manitoba</w:t>
                      </w:r>
                      <w:r w:rsidR="000315E8" w:rsidRPr="001C3921">
                        <w:rPr>
                          <w:rFonts w:ascii="Verdana" w:hAnsi="Verdana"/>
                          <w:i/>
                          <w:sz w:val="16"/>
                          <w:szCs w:val="20"/>
                          <w:vertAlign w:val="superscript"/>
                        </w:rPr>
                        <w:t xml:space="preserve">; </w:t>
                      </w:r>
                      <w:r w:rsidRPr="001C3921">
                        <w:rPr>
                          <w:rFonts w:ascii="Verdana" w:hAnsi="Verdana"/>
                          <w:i/>
                          <w:sz w:val="16"/>
                          <w:szCs w:val="20"/>
                        </w:rPr>
                        <w:t>Research Institute in Oncology and Hema</w:t>
                      </w:r>
                      <w:r w:rsidR="000315E8" w:rsidRPr="001C3921">
                        <w:rPr>
                          <w:rFonts w:ascii="Verdana" w:hAnsi="Verdana"/>
                          <w:i/>
                          <w:sz w:val="16"/>
                          <w:szCs w:val="20"/>
                        </w:rPr>
                        <w:t xml:space="preserve">tology, </w:t>
                      </w:r>
                      <w:proofErr w:type="spellStart"/>
                      <w:r w:rsidR="000315E8" w:rsidRPr="001C3921">
                        <w:rPr>
                          <w:rFonts w:ascii="Verdana" w:hAnsi="Verdana"/>
                          <w:i/>
                          <w:sz w:val="16"/>
                          <w:szCs w:val="20"/>
                        </w:rPr>
                        <w:t>CancerCare</w:t>
                      </w:r>
                      <w:proofErr w:type="spellEnd"/>
                      <w:r w:rsidR="000315E8" w:rsidRPr="001C3921">
                        <w:rPr>
                          <w:rFonts w:ascii="Verdana" w:hAnsi="Verdana"/>
                          <w:i/>
                          <w:sz w:val="16"/>
                          <w:szCs w:val="20"/>
                        </w:rPr>
                        <w:t xml:space="preserve"> Manitoba</w:t>
                      </w:r>
                    </w:p>
                    <w:p w14:paraId="5F2868AC" w14:textId="77777777" w:rsidR="00231C48" w:rsidRPr="001C3921" w:rsidRDefault="00231C48" w:rsidP="000315E8">
                      <w:pPr>
                        <w:spacing w:after="0" w:line="240" w:lineRule="auto"/>
                        <w:rPr>
                          <w:rFonts w:ascii="Verdana" w:hAnsi="Verdana"/>
                          <w:i/>
                          <w:sz w:val="16"/>
                          <w:szCs w:val="20"/>
                        </w:rPr>
                      </w:pPr>
                    </w:p>
                    <w:p w14:paraId="2C446E18" w14:textId="66E0B42E" w:rsidR="00231C48" w:rsidRPr="001C3921" w:rsidRDefault="00231C48" w:rsidP="000315E8">
                      <w:pPr>
                        <w:spacing w:after="0" w:line="240" w:lineRule="auto"/>
                        <w:rPr>
                          <w:rFonts w:ascii="Verdana" w:eastAsiaTheme="minorEastAsia" w:hAnsi="Verdana"/>
                          <w:b/>
                          <w:sz w:val="18"/>
                          <w:szCs w:val="20"/>
                          <w:vertAlign w:val="superscript"/>
                          <w:lang w:val="en-CA" w:eastAsia="zh-CN"/>
                        </w:rPr>
                      </w:pPr>
                      <w:r w:rsidRPr="001C3921">
                        <w:rPr>
                          <w:rFonts w:ascii="Verdana" w:eastAsiaTheme="minorEastAsia" w:hAnsi="Verdana"/>
                          <w:b/>
                          <w:sz w:val="16"/>
                          <w:szCs w:val="20"/>
                          <w:lang w:val="en-CA" w:eastAsia="zh-CN"/>
                        </w:rPr>
                        <w:t xml:space="preserve">Carlo </w:t>
                      </w:r>
                      <w:proofErr w:type="spellStart"/>
                      <w:r w:rsidRPr="001C3921">
                        <w:rPr>
                          <w:rFonts w:ascii="Verdana" w:eastAsiaTheme="minorEastAsia" w:hAnsi="Verdana"/>
                          <w:b/>
                          <w:sz w:val="16"/>
                          <w:szCs w:val="20"/>
                          <w:lang w:val="en-CA" w:eastAsia="zh-CN"/>
                        </w:rPr>
                        <w:t>DeAngelis</w:t>
                      </w:r>
                      <w:proofErr w:type="spellEnd"/>
                    </w:p>
                    <w:p w14:paraId="58405FDD" w14:textId="7D46E02C" w:rsidR="00231C48" w:rsidRPr="001C3921" w:rsidRDefault="00231C48" w:rsidP="000315E8">
                      <w:pPr>
                        <w:spacing w:after="0" w:line="240" w:lineRule="auto"/>
                        <w:rPr>
                          <w:rFonts w:ascii="Verdana" w:eastAsiaTheme="minorEastAsia" w:hAnsi="Verdana"/>
                          <w:i/>
                          <w:sz w:val="16"/>
                          <w:szCs w:val="20"/>
                          <w:vertAlign w:val="superscript"/>
                          <w:lang w:val="en-CA" w:eastAsia="zh-CN"/>
                        </w:rPr>
                      </w:pPr>
                      <w:r w:rsidRPr="001C3921">
                        <w:rPr>
                          <w:rFonts w:ascii="Verdana" w:eastAsiaTheme="minorEastAsia" w:hAnsi="Verdana"/>
                          <w:i/>
                          <w:sz w:val="16"/>
                          <w:szCs w:val="20"/>
                          <w:lang w:val="en-CA" w:eastAsia="zh-CN"/>
                        </w:rPr>
                        <w:t>Department of Pharmacy, Odette Cancer Centre, Sunnybrook Health Sciences Centre, Toronto, ON</w:t>
                      </w:r>
                      <w:r w:rsidR="000315E8" w:rsidRPr="001C3921">
                        <w:rPr>
                          <w:rFonts w:ascii="Verdana" w:eastAsiaTheme="minorEastAsia" w:hAnsi="Verdana"/>
                          <w:i/>
                          <w:sz w:val="16"/>
                          <w:szCs w:val="20"/>
                          <w:lang w:val="en-CA" w:eastAsia="zh-CN"/>
                        </w:rPr>
                        <w:t xml:space="preserve">; </w:t>
                      </w:r>
                      <w:r w:rsidRPr="001C3921">
                        <w:rPr>
                          <w:rFonts w:ascii="Verdana" w:eastAsiaTheme="minorEastAsia" w:hAnsi="Verdana"/>
                          <w:i/>
                          <w:sz w:val="16"/>
                          <w:szCs w:val="20"/>
                          <w:lang w:val="en-CA" w:eastAsia="zh-CN"/>
                        </w:rPr>
                        <w:t xml:space="preserve">Leslie Dan Faculty of </w:t>
                      </w:r>
                      <w:r w:rsidR="00500108" w:rsidRPr="001C3921">
                        <w:rPr>
                          <w:rFonts w:ascii="Verdana" w:eastAsiaTheme="minorEastAsia" w:hAnsi="Verdana"/>
                          <w:i/>
                          <w:sz w:val="16"/>
                          <w:szCs w:val="20"/>
                          <w:lang w:val="en-CA" w:eastAsia="zh-CN"/>
                        </w:rPr>
                        <w:t>Pharmacy, University of Toronto</w:t>
                      </w:r>
                    </w:p>
                    <w:p w14:paraId="38AA96A0" w14:textId="77777777" w:rsidR="00231C48" w:rsidRPr="001C3921" w:rsidRDefault="00231C48" w:rsidP="000315E8">
                      <w:pPr>
                        <w:spacing w:after="0" w:line="240" w:lineRule="auto"/>
                        <w:rPr>
                          <w:rFonts w:ascii="Verdana" w:eastAsiaTheme="minorEastAsia" w:hAnsi="Verdana"/>
                          <w:i/>
                          <w:sz w:val="16"/>
                          <w:szCs w:val="20"/>
                          <w:vertAlign w:val="superscript"/>
                          <w:lang w:val="en-CA" w:eastAsia="zh-CN"/>
                        </w:rPr>
                      </w:pPr>
                    </w:p>
                    <w:p w14:paraId="03613CD7" w14:textId="2312F4D1" w:rsidR="00231C48" w:rsidRPr="001C3921" w:rsidRDefault="00231C48" w:rsidP="000315E8">
                      <w:pPr>
                        <w:spacing w:after="0" w:line="240" w:lineRule="auto"/>
                        <w:rPr>
                          <w:rFonts w:ascii="Verdana" w:eastAsiaTheme="minorEastAsia" w:hAnsi="Verdana"/>
                          <w:b/>
                          <w:sz w:val="16"/>
                          <w:szCs w:val="20"/>
                          <w:lang w:val="en-CA" w:eastAsia="zh-CN"/>
                        </w:rPr>
                      </w:pPr>
                      <w:r w:rsidRPr="001C3921">
                        <w:rPr>
                          <w:rFonts w:ascii="Verdana" w:eastAsiaTheme="minorEastAsia" w:hAnsi="Verdana"/>
                          <w:b/>
                          <w:sz w:val="16"/>
                          <w:szCs w:val="20"/>
                          <w:lang w:val="en-CA" w:eastAsia="zh-CN"/>
                        </w:rPr>
                        <w:t>Jarred Rosenberg</w:t>
                      </w:r>
                    </w:p>
                    <w:p w14:paraId="4467A6DF" w14:textId="2946C115" w:rsidR="00231C48" w:rsidRPr="001C3921" w:rsidRDefault="00231C48" w:rsidP="000315E8">
                      <w:pPr>
                        <w:spacing w:after="0" w:line="240" w:lineRule="auto"/>
                        <w:rPr>
                          <w:rFonts w:ascii="Verdana" w:eastAsiaTheme="minorEastAsia" w:hAnsi="Verdana"/>
                          <w:b/>
                          <w:i/>
                          <w:iCs/>
                          <w:sz w:val="14"/>
                          <w:szCs w:val="20"/>
                          <w:lang w:val="en-CA" w:eastAsia="zh-CN"/>
                        </w:rPr>
                      </w:pPr>
                      <w:r w:rsidRPr="001C3921">
                        <w:rPr>
                          <w:rFonts w:ascii="Verdana" w:eastAsia="Calibri" w:hAnsi="Verdana"/>
                          <w:i/>
                          <w:iCs/>
                          <w:sz w:val="16"/>
                        </w:rPr>
                        <w:t xml:space="preserve">Michael </w:t>
                      </w:r>
                      <w:proofErr w:type="spellStart"/>
                      <w:r w:rsidRPr="001C3921">
                        <w:rPr>
                          <w:rFonts w:ascii="Verdana" w:eastAsia="Calibri" w:hAnsi="Verdana"/>
                          <w:i/>
                          <w:iCs/>
                          <w:sz w:val="16"/>
                        </w:rPr>
                        <w:t>Garron</w:t>
                      </w:r>
                      <w:proofErr w:type="spellEnd"/>
                      <w:r w:rsidRPr="001C3921">
                        <w:rPr>
                          <w:rFonts w:ascii="Verdana" w:eastAsia="Calibri" w:hAnsi="Verdana"/>
                          <w:i/>
                          <w:iCs/>
                          <w:sz w:val="16"/>
                        </w:rPr>
                        <w:t xml:space="preserve"> Hospital, Toronto, ON</w:t>
                      </w:r>
                    </w:p>
                    <w:p w14:paraId="57799DA4" w14:textId="77777777" w:rsidR="00231C48" w:rsidRPr="001C3921" w:rsidRDefault="00231C48" w:rsidP="000315E8">
                      <w:pPr>
                        <w:spacing w:after="0" w:line="240" w:lineRule="auto"/>
                        <w:rPr>
                          <w:rFonts w:ascii="Verdana" w:hAnsi="Verdana"/>
                          <w:b/>
                          <w:sz w:val="20"/>
                        </w:rPr>
                      </w:pPr>
                    </w:p>
                    <w:p w14:paraId="6FA1743E" w14:textId="7770CF04" w:rsidR="00231C48" w:rsidRPr="001C3921" w:rsidRDefault="00231C48" w:rsidP="000315E8">
                      <w:pPr>
                        <w:spacing w:after="0" w:line="240" w:lineRule="auto"/>
                        <w:rPr>
                          <w:rFonts w:ascii="Verdana" w:hAnsi="Verdana"/>
                          <w:b/>
                          <w:sz w:val="16"/>
                        </w:rPr>
                      </w:pPr>
                      <w:r w:rsidRPr="001C3921">
                        <w:rPr>
                          <w:rFonts w:ascii="Verdana" w:hAnsi="Verdana"/>
                          <w:b/>
                          <w:sz w:val="16"/>
                        </w:rPr>
                        <w:t xml:space="preserve">Fay J </w:t>
                      </w:r>
                      <w:proofErr w:type="spellStart"/>
                      <w:r w:rsidRPr="001C3921">
                        <w:rPr>
                          <w:rFonts w:ascii="Verdana" w:hAnsi="Verdana"/>
                          <w:b/>
                          <w:sz w:val="16"/>
                        </w:rPr>
                        <w:t>Strohschein</w:t>
                      </w:r>
                      <w:proofErr w:type="spellEnd"/>
                      <w:r w:rsidR="001663C3">
                        <w:rPr>
                          <w:rFonts w:ascii="Verdana" w:hAnsi="Verdana"/>
                          <w:b/>
                          <w:sz w:val="16"/>
                        </w:rPr>
                        <w:t xml:space="preserve"> </w:t>
                      </w:r>
                      <w:r w:rsidRPr="001C3921">
                        <w:rPr>
                          <w:rFonts w:ascii="Verdana" w:hAnsi="Verdana"/>
                          <w:b/>
                          <w:sz w:val="16"/>
                        </w:rPr>
                        <w:t>RN PhD</w:t>
                      </w:r>
                    </w:p>
                    <w:p w14:paraId="1FF55C4C" w14:textId="6F244F31" w:rsidR="00231C48" w:rsidRPr="001C3921" w:rsidRDefault="00500108" w:rsidP="000315E8">
                      <w:pPr>
                        <w:spacing w:after="0" w:line="240" w:lineRule="auto"/>
                        <w:rPr>
                          <w:rFonts w:ascii="Verdana" w:eastAsia="Calibri" w:hAnsi="Verdana"/>
                          <w:i/>
                          <w:iCs/>
                          <w:sz w:val="16"/>
                          <w:szCs w:val="16"/>
                        </w:rPr>
                      </w:pPr>
                      <w:r w:rsidRPr="001C3921">
                        <w:rPr>
                          <w:rFonts w:ascii="Verdana" w:eastAsia="Calibri" w:hAnsi="Verdana"/>
                          <w:i/>
                          <w:iCs/>
                          <w:sz w:val="16"/>
                          <w:szCs w:val="16"/>
                        </w:rPr>
                        <w:t>Jewish General Hospital</w:t>
                      </w:r>
                      <w:r w:rsidR="00231C48" w:rsidRPr="001C3921">
                        <w:rPr>
                          <w:rFonts w:ascii="Verdana" w:eastAsia="Calibri" w:hAnsi="Verdana"/>
                          <w:i/>
                          <w:iCs/>
                          <w:sz w:val="16"/>
                          <w:szCs w:val="16"/>
                        </w:rPr>
                        <w:t xml:space="preserve">, </w:t>
                      </w:r>
                      <w:r w:rsidRPr="001C3921">
                        <w:rPr>
                          <w:rFonts w:ascii="Verdana" w:eastAsia="Calibri" w:hAnsi="Verdana"/>
                          <w:i/>
                          <w:iCs/>
                          <w:sz w:val="16"/>
                          <w:szCs w:val="16"/>
                        </w:rPr>
                        <w:t xml:space="preserve">Montreal, </w:t>
                      </w:r>
                      <w:r w:rsidR="00231C48" w:rsidRPr="001C3921">
                        <w:rPr>
                          <w:rFonts w:ascii="Verdana" w:eastAsia="Calibri" w:hAnsi="Verdana"/>
                          <w:i/>
                          <w:iCs/>
                          <w:sz w:val="16"/>
                          <w:szCs w:val="16"/>
                        </w:rPr>
                        <w:t>Quebec</w:t>
                      </w:r>
                    </w:p>
                    <w:p w14:paraId="22E28722" w14:textId="77777777" w:rsidR="00231C48" w:rsidRPr="001C3921" w:rsidRDefault="00231C48" w:rsidP="000315E8">
                      <w:pPr>
                        <w:spacing w:after="0" w:line="240" w:lineRule="auto"/>
                        <w:rPr>
                          <w:rFonts w:ascii="Verdana" w:eastAsia="Calibri" w:hAnsi="Verdana"/>
                          <w:sz w:val="14"/>
                          <w:szCs w:val="16"/>
                        </w:rPr>
                      </w:pPr>
                    </w:p>
                    <w:p w14:paraId="6766EDAE" w14:textId="5EFF02AF" w:rsidR="00231C48" w:rsidRPr="001C3921" w:rsidRDefault="00231C48" w:rsidP="000315E8">
                      <w:pPr>
                        <w:spacing w:after="0" w:line="240" w:lineRule="auto"/>
                        <w:rPr>
                          <w:rFonts w:ascii="Verdana" w:hAnsi="Verdana"/>
                          <w:b/>
                          <w:sz w:val="18"/>
                          <w:szCs w:val="20"/>
                          <w:vertAlign w:val="superscript"/>
                        </w:rPr>
                      </w:pPr>
                      <w:r w:rsidRPr="001C3921">
                        <w:rPr>
                          <w:rFonts w:ascii="Verdana" w:hAnsi="Verdana"/>
                          <w:b/>
                          <w:sz w:val="16"/>
                          <w:szCs w:val="20"/>
                        </w:rPr>
                        <w:t>Ewa Szumacher</w:t>
                      </w:r>
                    </w:p>
                    <w:p w14:paraId="72B90D3E" w14:textId="5BD623B3" w:rsidR="000315E8" w:rsidRPr="001C3921" w:rsidRDefault="00231C48" w:rsidP="000315E8">
                      <w:pPr>
                        <w:spacing w:after="0" w:line="240" w:lineRule="auto"/>
                        <w:rPr>
                          <w:rFonts w:ascii="Verdana" w:hAnsi="Verdana"/>
                          <w:i/>
                          <w:sz w:val="16"/>
                          <w:szCs w:val="20"/>
                        </w:rPr>
                      </w:pPr>
                      <w:r w:rsidRPr="001C3921">
                        <w:rPr>
                          <w:rFonts w:ascii="Verdana" w:hAnsi="Verdana"/>
                          <w:i/>
                          <w:sz w:val="16"/>
                          <w:szCs w:val="20"/>
                        </w:rPr>
                        <w:t>Department of Radiation Oncology, Faculty of M</w:t>
                      </w:r>
                      <w:r w:rsidR="00500108" w:rsidRPr="001C3921">
                        <w:rPr>
                          <w:rFonts w:ascii="Verdana" w:hAnsi="Verdana"/>
                          <w:i/>
                          <w:sz w:val="16"/>
                          <w:szCs w:val="20"/>
                        </w:rPr>
                        <w:t>edicine, University of Toronto</w:t>
                      </w:r>
                      <w:r w:rsidR="00500108" w:rsidRPr="001C3921">
                        <w:rPr>
                          <w:rFonts w:ascii="Verdana" w:hAnsi="Verdana"/>
                          <w:i/>
                          <w:sz w:val="16"/>
                          <w:szCs w:val="20"/>
                        </w:rPr>
                        <w:br/>
                      </w:r>
                    </w:p>
                    <w:p w14:paraId="403DE5FB" w14:textId="41248369" w:rsidR="000315E8" w:rsidRPr="001C3921" w:rsidRDefault="000315E8" w:rsidP="000315E8">
                      <w:pPr>
                        <w:spacing w:after="0" w:line="240" w:lineRule="auto"/>
                        <w:rPr>
                          <w:rFonts w:ascii="Verdana" w:hAnsi="Verdana"/>
                          <w:b/>
                          <w:sz w:val="16"/>
                          <w:szCs w:val="20"/>
                        </w:rPr>
                      </w:pPr>
                      <w:r w:rsidRPr="001C3921">
                        <w:rPr>
                          <w:rFonts w:ascii="Verdana" w:hAnsi="Verdana"/>
                          <w:b/>
                          <w:sz w:val="16"/>
                          <w:szCs w:val="20"/>
                        </w:rPr>
                        <w:t xml:space="preserve">Daniel W </w:t>
                      </w:r>
                      <w:proofErr w:type="spellStart"/>
                      <w:r w:rsidRPr="001C3921">
                        <w:rPr>
                          <w:rFonts w:ascii="Verdana" w:hAnsi="Verdana"/>
                          <w:b/>
                          <w:sz w:val="16"/>
                          <w:szCs w:val="20"/>
                        </w:rPr>
                        <w:t>Yokum</w:t>
                      </w:r>
                      <w:proofErr w:type="spellEnd"/>
                    </w:p>
                    <w:p w14:paraId="21AC9BBD" w14:textId="30D236E0" w:rsidR="000315E8" w:rsidRPr="001C3921" w:rsidRDefault="000315E8" w:rsidP="000315E8">
                      <w:pPr>
                        <w:spacing w:after="0" w:line="240" w:lineRule="auto"/>
                        <w:rPr>
                          <w:rFonts w:ascii="Verdana" w:hAnsi="Verdana"/>
                          <w:i/>
                          <w:sz w:val="16"/>
                          <w:szCs w:val="20"/>
                          <w:vertAlign w:val="superscript"/>
                        </w:rPr>
                      </w:pPr>
                      <w:r w:rsidRPr="001C3921">
                        <w:rPr>
                          <w:rFonts w:ascii="Verdana" w:hAnsi="Verdana"/>
                          <w:i/>
                          <w:sz w:val="16"/>
                          <w:szCs w:val="20"/>
                        </w:rPr>
                        <w:t>Department of Medicine, University Health Network</w:t>
                      </w:r>
                    </w:p>
                    <w:p w14:paraId="75DF550F" w14:textId="77777777" w:rsidR="000315E8" w:rsidRPr="001C3921" w:rsidRDefault="000315E8" w:rsidP="000315E8">
                      <w:pPr>
                        <w:spacing w:after="0" w:line="240" w:lineRule="auto"/>
                        <w:rPr>
                          <w:rFonts w:ascii="Verdana" w:hAnsi="Verdana"/>
                          <w:i/>
                          <w:sz w:val="16"/>
                          <w:szCs w:val="20"/>
                        </w:rPr>
                      </w:pPr>
                    </w:p>
                    <w:p w14:paraId="13CF1185" w14:textId="0B900027" w:rsidR="000315E8" w:rsidRPr="001C3921" w:rsidRDefault="00E110C2" w:rsidP="000315E8">
                      <w:pPr>
                        <w:spacing w:after="0" w:line="240" w:lineRule="auto"/>
                        <w:rPr>
                          <w:rFonts w:ascii="Verdana" w:hAnsi="Verdana"/>
                          <w:b/>
                          <w:sz w:val="14"/>
                          <w:szCs w:val="20"/>
                        </w:rPr>
                      </w:pPr>
                      <w:r w:rsidRPr="001C3921">
                        <w:rPr>
                          <w:rFonts w:ascii="Verdana" w:eastAsia="Calibri" w:hAnsi="Verdana"/>
                          <w:b/>
                          <w:sz w:val="16"/>
                        </w:rPr>
                        <w:t>Martine TE Puts</w:t>
                      </w:r>
                      <w:r w:rsidR="00500108" w:rsidRPr="001C3921">
                        <w:rPr>
                          <w:rFonts w:ascii="Verdana" w:eastAsia="Calibri" w:hAnsi="Verdana"/>
                          <w:b/>
                          <w:sz w:val="16"/>
                        </w:rPr>
                        <w:t xml:space="preserve"> </w:t>
                      </w:r>
                      <w:r w:rsidRPr="001C3921">
                        <w:rPr>
                          <w:rFonts w:ascii="Verdana" w:eastAsia="Calibri" w:hAnsi="Verdana"/>
                          <w:b/>
                          <w:sz w:val="16"/>
                        </w:rPr>
                        <w:t>PhD RN</w:t>
                      </w:r>
                    </w:p>
                    <w:p w14:paraId="09DFD28B" w14:textId="2E62844D" w:rsidR="00C117A8" w:rsidRPr="001C3921" w:rsidRDefault="00E110C2" w:rsidP="000315E8">
                      <w:pPr>
                        <w:spacing w:after="0" w:line="240" w:lineRule="auto"/>
                        <w:rPr>
                          <w:rFonts w:ascii="Verdana" w:hAnsi="Verdana"/>
                          <w:i/>
                          <w:sz w:val="16"/>
                          <w:szCs w:val="20"/>
                          <w:vertAlign w:val="superscript"/>
                        </w:rPr>
                      </w:pPr>
                      <w:r w:rsidRPr="001C3921">
                        <w:rPr>
                          <w:rFonts w:ascii="Verdana" w:hAnsi="Verdana"/>
                          <w:i/>
                          <w:sz w:val="16"/>
                          <w:szCs w:val="20"/>
                        </w:rPr>
                        <w:t>Lawrence S. Bloomberg Faculty of Nursing, University of Toronto</w:t>
                      </w:r>
                    </w:p>
                    <w:p w14:paraId="6A9CCCF3" w14:textId="77777777" w:rsidR="00500108" w:rsidRPr="001C3921" w:rsidRDefault="00500108" w:rsidP="000315E8">
                      <w:pPr>
                        <w:spacing w:after="0" w:line="240" w:lineRule="auto"/>
                        <w:rPr>
                          <w:rFonts w:ascii="Verdana" w:hAnsi="Verdana"/>
                          <w:i/>
                          <w:sz w:val="16"/>
                          <w:szCs w:val="20"/>
                        </w:rPr>
                      </w:pPr>
                    </w:p>
                    <w:p w14:paraId="1C6F77CC" w14:textId="147A574A" w:rsidR="00500108" w:rsidRPr="001C3921" w:rsidRDefault="00500108" w:rsidP="000315E8">
                      <w:pPr>
                        <w:spacing w:after="0" w:line="240" w:lineRule="auto"/>
                        <w:rPr>
                          <w:rFonts w:ascii="Verdana" w:hAnsi="Verdana"/>
                          <w:b/>
                          <w:sz w:val="16"/>
                          <w:szCs w:val="20"/>
                          <w:vertAlign w:val="superscript"/>
                        </w:rPr>
                      </w:pPr>
                      <w:r w:rsidRPr="001C3921">
                        <w:rPr>
                          <w:rFonts w:ascii="Verdana" w:hAnsi="Verdana"/>
                          <w:b/>
                          <w:sz w:val="16"/>
                          <w:szCs w:val="20"/>
                        </w:rPr>
                        <w:t>Shabbir MH Alibhai, MD MSc</w:t>
                      </w:r>
                    </w:p>
                    <w:p w14:paraId="7B5387B3" w14:textId="34737924" w:rsidR="00500108" w:rsidRPr="001C3921" w:rsidRDefault="00500108" w:rsidP="000315E8">
                      <w:pPr>
                        <w:spacing w:after="0" w:line="240" w:lineRule="auto"/>
                        <w:rPr>
                          <w:rFonts w:ascii="Verdana" w:hAnsi="Verdana"/>
                          <w:i/>
                          <w:sz w:val="16"/>
                          <w:szCs w:val="20"/>
                        </w:rPr>
                      </w:pPr>
                      <w:r w:rsidRPr="001C3921">
                        <w:rPr>
                          <w:rFonts w:ascii="Verdana" w:hAnsi="Verdana"/>
                          <w:i/>
                          <w:sz w:val="16"/>
                          <w:szCs w:val="20"/>
                        </w:rPr>
                        <w:t>Department of Medicine, University Health Network</w:t>
                      </w:r>
                    </w:p>
                    <w:p w14:paraId="4E89DFE1" w14:textId="73A4D701" w:rsidR="00500108" w:rsidRPr="001C3921" w:rsidRDefault="00500108" w:rsidP="000315E8">
                      <w:pPr>
                        <w:spacing w:line="240" w:lineRule="auto"/>
                        <w:ind w:right="-49"/>
                        <w:rPr>
                          <w:rFonts w:ascii="Verdana" w:hAnsi="Verdana"/>
                          <w:b/>
                          <w:sz w:val="18"/>
                          <w:szCs w:val="20"/>
                        </w:rPr>
                      </w:pPr>
                      <w:r w:rsidRPr="001C3921">
                        <w:rPr>
                          <w:rFonts w:ascii="Verdana" w:hAnsi="Verdana"/>
                          <w:b/>
                          <w:sz w:val="18"/>
                          <w:szCs w:val="20"/>
                        </w:rPr>
                        <w:br/>
                      </w:r>
                      <w:r w:rsidRPr="001C3921">
                        <w:rPr>
                          <w:rFonts w:ascii="Verdana" w:hAnsi="Verdana"/>
                          <w:b/>
                          <w:sz w:val="16"/>
                          <w:szCs w:val="20"/>
                        </w:rPr>
                        <w:t>Tina Hsu, MD</w:t>
                      </w:r>
                      <w:r w:rsidRPr="001C3921">
                        <w:rPr>
                          <w:rFonts w:ascii="Verdana" w:hAnsi="Verdana"/>
                          <w:b/>
                          <w:sz w:val="18"/>
                          <w:szCs w:val="20"/>
                        </w:rPr>
                        <w:br/>
                      </w:r>
                      <w:r w:rsidRPr="001C3921">
                        <w:rPr>
                          <w:rFonts w:ascii="Verdana" w:eastAsia="Calibri" w:hAnsi="Verdana"/>
                          <w:i/>
                          <w:iCs/>
                          <w:sz w:val="16"/>
                        </w:rPr>
                        <w:t>The Ottawa Hospital Cancer Centre; Division of Medical Oncology, University of Ottawa</w:t>
                      </w:r>
                    </w:p>
                    <w:p w14:paraId="1A5E8C56" w14:textId="77777777" w:rsidR="00C117A8" w:rsidRPr="00500108" w:rsidRDefault="00C117A8" w:rsidP="00500108">
                      <w:pPr>
                        <w:spacing w:line="240" w:lineRule="auto"/>
                        <w:ind w:right="-49"/>
                        <w:rPr>
                          <w:rFonts w:ascii="Verdana" w:hAnsi="Verdana"/>
                          <w:color w:val="C00000"/>
                          <w:sz w:val="16"/>
                          <w:szCs w:val="20"/>
                        </w:rPr>
                      </w:pPr>
                      <w:r w:rsidRPr="00500108">
                        <w:rPr>
                          <w:rFonts w:ascii="Verdana" w:hAnsi="Verdana"/>
                          <w:b/>
                          <w:color w:val="C00000"/>
                          <w:sz w:val="16"/>
                          <w:szCs w:val="20"/>
                        </w:rPr>
                        <w:t xml:space="preserve">Corresponding Author: </w:t>
                      </w:r>
                      <w:r w:rsidRPr="00500108">
                        <w:rPr>
                          <w:rFonts w:ascii="Verdana" w:hAnsi="Verdana"/>
                          <w:b/>
                          <w:color w:val="C00000"/>
                          <w:sz w:val="16"/>
                          <w:szCs w:val="20"/>
                        </w:rPr>
                        <w:br/>
                      </w:r>
                      <w:r w:rsidR="00500108" w:rsidRPr="00500108">
                        <w:rPr>
                          <w:rFonts w:ascii="Verdana" w:hAnsi="Verdana"/>
                          <w:color w:val="C00000"/>
                          <w:sz w:val="16"/>
                          <w:szCs w:val="20"/>
                        </w:rPr>
                        <w:t>Tina Hsu, MD, FRCPC</w:t>
                      </w:r>
                      <w:r w:rsidR="00500108" w:rsidRPr="00500108">
                        <w:rPr>
                          <w:rFonts w:ascii="Verdana" w:hAnsi="Verdana"/>
                          <w:color w:val="C00000"/>
                          <w:sz w:val="16"/>
                          <w:szCs w:val="20"/>
                        </w:rPr>
                        <w:br/>
                        <w:t>Email: thsu@toh.on.ca</w:t>
                      </w:r>
                      <w:r w:rsidR="00500108" w:rsidRPr="00500108">
                        <w:rPr>
                          <w:rFonts w:ascii="Verdana" w:hAnsi="Verdana"/>
                          <w:color w:val="C00000"/>
                          <w:sz w:val="16"/>
                          <w:szCs w:val="20"/>
                        </w:rPr>
                        <w:br/>
                        <w:t>Twitter handle: @</w:t>
                      </w:r>
                      <w:proofErr w:type="spellStart"/>
                      <w:r w:rsidR="00500108" w:rsidRPr="00500108">
                        <w:rPr>
                          <w:rFonts w:ascii="Verdana" w:hAnsi="Verdana"/>
                          <w:color w:val="C00000"/>
                          <w:sz w:val="16"/>
                          <w:szCs w:val="20"/>
                        </w:rPr>
                        <w:t>THsuMD</w:t>
                      </w:r>
                      <w:proofErr w:type="spellEnd"/>
                    </w:p>
                    <w:p w14:paraId="394B4C30" w14:textId="2D427DB9" w:rsidR="00C117A8" w:rsidRDefault="00C117A8" w:rsidP="001C3921">
                      <w:pPr>
                        <w:spacing w:after="0" w:line="240" w:lineRule="auto"/>
                      </w:pPr>
                      <w:r w:rsidRPr="00500108">
                        <w:rPr>
                          <w:rFonts w:ascii="Verdana" w:hAnsi="Verdana"/>
                          <w:b/>
                          <w:sz w:val="16"/>
                          <w:szCs w:val="16"/>
                        </w:rPr>
                        <w:t xml:space="preserve">Key words: </w:t>
                      </w:r>
                      <w:r w:rsidRPr="00500108">
                        <w:rPr>
                          <w:rFonts w:ascii="Verdana" w:hAnsi="Verdana"/>
                          <w:b/>
                          <w:color w:val="C00000"/>
                          <w:sz w:val="16"/>
                          <w:szCs w:val="16"/>
                        </w:rPr>
                        <w:br/>
                      </w:r>
                      <w:r w:rsidRPr="00500108">
                        <w:rPr>
                          <w:rFonts w:ascii="Verdana" w:hAnsi="Verdana"/>
                          <w:sz w:val="16"/>
                          <w:szCs w:val="16"/>
                        </w:rPr>
                        <w:t>Geriatric Oncology, Cancer, Medical Educ</w:t>
                      </w:r>
                      <w:r w:rsidR="00E81764">
                        <w:rPr>
                          <w:rFonts w:ascii="Verdana" w:hAnsi="Verdana"/>
                          <w:sz w:val="16"/>
                          <w:szCs w:val="16"/>
                        </w:rPr>
                        <w:t xml:space="preserve">ation, Continuing Professional </w:t>
                      </w:r>
                      <w:r w:rsidRPr="00500108">
                        <w:rPr>
                          <w:rFonts w:ascii="Verdana" w:hAnsi="Verdana"/>
                          <w:sz w:val="16"/>
                          <w:szCs w:val="16"/>
                        </w:rPr>
                        <w:t xml:space="preserve">Education, </w:t>
                      </w:r>
                      <w:proofErr w:type="spellStart"/>
                      <w:r w:rsidRPr="00500108">
                        <w:rPr>
                          <w:rFonts w:ascii="Verdana" w:hAnsi="Verdana"/>
                          <w:sz w:val="16"/>
                          <w:szCs w:val="16"/>
                        </w:rPr>
                        <w:t>Interprofessional</w:t>
                      </w:r>
                      <w:proofErr w:type="spellEnd"/>
                      <w:r w:rsidR="001C3921">
                        <w:rPr>
                          <w:rFonts w:ascii="Verdana" w:hAnsi="Verdana"/>
                          <w:sz w:val="16"/>
                          <w:szCs w:val="16"/>
                        </w:rPr>
                        <w:t xml:space="preserve"> </w:t>
                      </w:r>
                    </w:p>
                  </w:txbxContent>
                </v:textbox>
                <w10:wrap anchorx="page"/>
              </v:shape>
            </w:pict>
          </mc:Fallback>
        </mc:AlternateContent>
      </w:r>
      <w:r w:rsidRPr="00E5654F">
        <w:rPr>
          <w:noProof/>
          <w:color w:val="C00000"/>
          <w:lang w:val="en-CA" w:eastAsia="en-CA"/>
        </w:rPr>
        <mc:AlternateContent>
          <mc:Choice Requires="wps">
            <w:drawing>
              <wp:anchor distT="0" distB="0" distL="114300" distR="114300" simplePos="0" relativeHeight="251659264" behindDoc="1" locked="0" layoutInCell="1" allowOverlap="1" wp14:anchorId="3A3F79C4" wp14:editId="302F1A90">
                <wp:simplePos x="0" y="0"/>
                <wp:positionH relativeFrom="column">
                  <wp:posOffset>-3025750</wp:posOffset>
                </wp:positionH>
                <wp:positionV relativeFrom="paragraph">
                  <wp:posOffset>877825</wp:posOffset>
                </wp:positionV>
                <wp:extent cx="2457450" cy="8296478"/>
                <wp:effectExtent l="0" t="0" r="0" b="9525"/>
                <wp:wrapNone/>
                <wp:docPr id="1" name="Rectangle 1"/>
                <wp:cNvGraphicFramePr/>
                <a:graphic xmlns:a="http://schemas.openxmlformats.org/drawingml/2006/main">
                  <a:graphicData uri="http://schemas.microsoft.com/office/word/2010/wordprocessingShape">
                    <wps:wsp>
                      <wps:cNvSpPr/>
                      <wps:spPr>
                        <a:xfrm>
                          <a:off x="0" y="0"/>
                          <a:ext cx="2457450" cy="8296478"/>
                        </a:xfrm>
                        <a:prstGeom prst="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AF7250" w14:textId="77777777" w:rsidR="00C117A8" w:rsidRPr="00B02001" w:rsidRDefault="00C117A8" w:rsidP="00711961">
                            <w:pPr>
                              <w:jc w:val="center"/>
                              <w:rPr>
                                <w:color w:val="D9D9D9" w:themeColor="background1" w:themeShade="D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F79C4" id="Rectangle 1" o:spid="_x0000_s1027" style="position:absolute;left:0;text-align:left;margin-left:-238.25pt;margin-top:69.1pt;width:193.5pt;height:6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" fillcolor="#d9d9d9" stroked="f" strokeweight="2pt">
                <v:textbox>
                  <w:txbxContent>
                    <w:p w14:paraId="30AF7250" w14:textId="77777777" w:rsidR="00C117A8" w:rsidRPr="00B02001" w:rsidRDefault="00C117A8" w:rsidP="00711961">
                      <w:pPr>
                        <w:jc w:val="center"/>
                        <w:rPr>
                          <w:color w:val="D9D9D9" w:themeColor="background1" w:themeShade="D9"/>
                        </w:rPr>
                      </w:pPr>
                    </w:p>
                  </w:txbxContent>
                </v:textbox>
              </v:rect>
            </w:pict>
          </mc:Fallback>
        </mc:AlternateContent>
      </w:r>
      <w:r w:rsidR="002D5E53" w:rsidRPr="00E5654F">
        <w:rPr>
          <w:noProof/>
          <w:color w:val="C00000"/>
          <w:sz w:val="44"/>
          <w:lang w:val="en-CA" w:eastAsia="en-CA"/>
        </w:rPr>
        <mc:AlternateContent>
          <mc:Choice Requires="wps">
            <w:drawing>
              <wp:anchor distT="0" distB="0" distL="114300" distR="114300" simplePos="0" relativeHeight="251663360" behindDoc="0" locked="0" layoutInCell="1" allowOverlap="1" wp14:anchorId="1A1ACF4C" wp14:editId="118F46F1">
                <wp:simplePos x="0" y="0"/>
                <wp:positionH relativeFrom="column">
                  <wp:posOffset>-2880360</wp:posOffset>
                </wp:positionH>
                <wp:positionV relativeFrom="paragraph">
                  <wp:posOffset>-160020</wp:posOffset>
                </wp:positionV>
                <wp:extent cx="2286000" cy="10972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noFill/>
                        <a:ln w="9525">
                          <a:noFill/>
                          <a:miter lim="800000"/>
                          <a:headEnd/>
                          <a:tailEnd/>
                        </a:ln>
                      </wps:spPr>
                      <wps:txbx>
                        <w:txbxContent>
                          <w:p w14:paraId="70CFBC01" w14:textId="77777777" w:rsidR="00C117A8" w:rsidRPr="00DB6A43" w:rsidRDefault="00C117A8" w:rsidP="001644A2">
                            <w:pPr>
                              <w:spacing w:after="0" w:line="240" w:lineRule="auto"/>
                              <w:jc w:val="center"/>
                              <w:rPr>
                                <w:sz w:val="20"/>
                                <w:szCs w:val="20"/>
                              </w:rPr>
                            </w:pPr>
                            <w:r w:rsidRPr="00DB6A43">
                              <w:rPr>
                                <w:noProof/>
                                <w:sz w:val="20"/>
                                <w:szCs w:val="20"/>
                                <w:lang w:val="en-CA" w:eastAsia="en-CA"/>
                              </w:rPr>
                              <w:drawing>
                                <wp:inline distT="0" distB="0" distL="0" distR="0" wp14:anchorId="263BBA12" wp14:editId="5C5E184F">
                                  <wp:extent cx="849085" cy="817146"/>
                                  <wp:effectExtent l="0" t="0" r="8255" b="2540"/>
                                  <wp:docPr id="13" name="Picture 13" descr="S:\Secretariat\CGS\Art Work\Logo\CGS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cretariat\CGS\Art Work\Logo\CGS_ne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077" cy="819063"/>
                                          </a:xfrm>
                                          <a:prstGeom prst="rect">
                                            <a:avLst/>
                                          </a:prstGeom>
                                          <a:noFill/>
                                          <a:ln>
                                            <a:noFill/>
                                          </a:ln>
                                        </pic:spPr>
                                      </pic:pic>
                                    </a:graphicData>
                                  </a:graphic>
                                </wp:inline>
                              </w:drawing>
                            </w:r>
                            <w:r w:rsidRPr="00DB6A43">
                              <w:rPr>
                                <w:sz w:val="20"/>
                                <w:szCs w:val="20"/>
                              </w:rPr>
                              <w:br/>
                            </w:r>
                            <w:r w:rsidRPr="00E5654F">
                              <w:rPr>
                                <w:rFonts w:ascii="Verdana" w:hAnsi="Verdana" w:cs="Arial"/>
                                <w:color w:val="C00000"/>
                                <w:sz w:val="18"/>
                                <w:szCs w:val="18"/>
                              </w:rPr>
                              <w:t>Canadian Geriatrics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ACF4C" id="_x0000_s1028" type="#_x0000_t202" style="position:absolute;left:0;text-align:left;margin-left:-226.8pt;margin-top:-12.6pt;width:180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" filled="f" stroked="f">
                <v:textbox>
                  <w:txbxContent>
                    <w:p w14:paraId="70CFBC01" w14:textId="77777777" w:rsidR="00C117A8" w:rsidRPr="00DB6A43" w:rsidRDefault="00C117A8" w:rsidP="001644A2">
                      <w:pPr>
                        <w:spacing w:after="0" w:line="240" w:lineRule="auto"/>
                        <w:jc w:val="center"/>
                        <w:rPr>
                          <w:sz w:val="20"/>
                          <w:szCs w:val="20"/>
                        </w:rPr>
                      </w:pPr>
                      <w:r w:rsidRPr="00DB6A43">
                        <w:rPr>
                          <w:noProof/>
                          <w:sz w:val="20"/>
                          <w:szCs w:val="20"/>
                          <w:lang w:val="en-CA" w:eastAsia="en-CA"/>
                        </w:rPr>
                        <w:drawing>
                          <wp:inline distT="0" distB="0" distL="0" distR="0" wp14:anchorId="263BBA12" wp14:editId="5C5E184F">
                            <wp:extent cx="849085" cy="817146"/>
                            <wp:effectExtent l="0" t="0" r="8255" b="2540"/>
                            <wp:docPr id="13" name="Picture 13" descr="S:\Secretariat\CGS\Art Work\Logo\CGS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cretariat\CGS\Art Work\Logo\CGS_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077" cy="819063"/>
                                    </a:xfrm>
                                    <a:prstGeom prst="rect">
                                      <a:avLst/>
                                    </a:prstGeom>
                                    <a:noFill/>
                                    <a:ln>
                                      <a:noFill/>
                                    </a:ln>
                                  </pic:spPr>
                                </pic:pic>
                              </a:graphicData>
                            </a:graphic>
                          </wp:inline>
                        </w:drawing>
                      </w:r>
                      <w:r w:rsidRPr="00DB6A43">
                        <w:rPr>
                          <w:sz w:val="20"/>
                          <w:szCs w:val="20"/>
                        </w:rPr>
                        <w:br/>
                      </w:r>
                      <w:r w:rsidRPr="00E5654F">
                        <w:rPr>
                          <w:rFonts w:ascii="Verdana" w:hAnsi="Verdana" w:cs="Arial"/>
                          <w:color w:val="C00000"/>
                          <w:sz w:val="18"/>
                          <w:szCs w:val="18"/>
                        </w:rPr>
                        <w:t>Canadian Geriatrics Society</w:t>
                      </w:r>
                    </w:p>
                  </w:txbxContent>
                </v:textbox>
              </v:shape>
            </w:pict>
          </mc:Fallback>
        </mc:AlternateContent>
      </w:r>
      <w:r w:rsidR="002D5E53" w:rsidRPr="00E5654F">
        <w:rPr>
          <w:noProof/>
          <w:color w:val="C00000"/>
          <w:sz w:val="44"/>
          <w:lang w:val="en-CA" w:eastAsia="en-CA"/>
        </w:rPr>
        <mc:AlternateContent>
          <mc:Choice Requires="wps">
            <w:drawing>
              <wp:anchor distT="0" distB="0" distL="114300" distR="114300" simplePos="0" relativeHeight="251666432" behindDoc="0" locked="0" layoutInCell="1" allowOverlap="1" wp14:anchorId="40A14519" wp14:editId="05E496BE">
                <wp:simplePos x="0" y="0"/>
                <wp:positionH relativeFrom="column">
                  <wp:posOffset>-2743200</wp:posOffset>
                </wp:positionH>
                <wp:positionV relativeFrom="paragraph">
                  <wp:posOffset>-754380</wp:posOffset>
                </wp:positionV>
                <wp:extent cx="7495540" cy="536575"/>
                <wp:effectExtent l="0" t="0" r="1016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5540" cy="536575"/>
                        </a:xfrm>
                        <a:prstGeom prst="rect">
                          <a:avLst/>
                        </a:prstGeom>
                        <a:solidFill>
                          <a:srgbClr val="C00000"/>
                        </a:solidFill>
                        <a:ln w="9525">
                          <a:solidFill>
                            <a:srgbClr val="C00000"/>
                          </a:solidFill>
                          <a:miter lim="800000"/>
                          <a:headEnd/>
                          <a:tailEnd/>
                        </a:ln>
                      </wps:spPr>
                      <wps:txbx>
                        <w:txbxContent>
                          <w:p w14:paraId="136EE4B9" w14:textId="77777777" w:rsidR="00C117A8" w:rsidRPr="00981A4B" w:rsidRDefault="00C117A8" w:rsidP="00A97B45">
                            <w:pPr>
                              <w:jc w:val="center"/>
                              <w:rPr>
                                <w:rFonts w:cs="Arial"/>
                                <w:b/>
                                <w:color w:val="FFFFFF" w:themeColor="background1"/>
                                <w:sz w:val="24"/>
                                <w:szCs w:val="24"/>
                              </w:rPr>
                            </w:pPr>
                            <w:r w:rsidRPr="00981A4B">
                              <w:rPr>
                                <w:rFonts w:cs="Arial"/>
                                <w:b/>
                                <w:color w:val="FFFFFF" w:themeColor="background1"/>
                                <w:sz w:val="24"/>
                                <w:szCs w:val="24"/>
                              </w:rPr>
                              <w:t xml:space="preserve">To see other CME articles, go to: </w:t>
                            </w:r>
                            <w:r w:rsidRPr="00981A4B">
                              <w:rPr>
                                <w:rFonts w:cs="Arial"/>
                                <w:b/>
                                <w:color w:val="FFFFFF" w:themeColor="background1"/>
                                <w:sz w:val="24"/>
                                <w:szCs w:val="24"/>
                                <w:u w:val="single"/>
                              </w:rPr>
                              <w:t>www.</w:t>
                            </w:r>
                            <w:hyperlink r:id="rId9" w:history="1">
                              <w:proofErr w:type="gramStart"/>
                              <w:r w:rsidRPr="00981A4B">
                                <w:rPr>
                                  <w:rStyle w:val="Hyperlink"/>
                                  <w:rFonts w:cs="Arial"/>
                                  <w:b/>
                                  <w:color w:val="FFFFFF" w:themeColor="background1"/>
                                  <w:sz w:val="24"/>
                                  <w:szCs w:val="24"/>
                                </w:rPr>
                                <w:t>geriatricsjournal.ca</w:t>
                              </w:r>
                              <w:proofErr w:type="gramEnd"/>
                            </w:hyperlink>
                            <w:r w:rsidRPr="00981A4B">
                              <w:rPr>
                                <w:rFonts w:cs="Arial"/>
                                <w:b/>
                                <w:color w:val="FFFFFF" w:themeColor="background1"/>
                                <w:sz w:val="24"/>
                                <w:szCs w:val="24"/>
                              </w:rPr>
                              <w:br/>
                            </w:r>
                            <w:r w:rsidRPr="00981A4B">
                              <w:rPr>
                                <w:rFonts w:cs="Arial"/>
                                <w:color w:val="FFFFFF" w:themeColor="background1"/>
                                <w:sz w:val="24"/>
                                <w:szCs w:val="24"/>
                              </w:rPr>
                              <w:t xml:space="preserve">If you are interested in receiving this publication on a regular basis, please consider </w:t>
                            </w:r>
                            <w:hyperlink r:id="rId10" w:history="1">
                              <w:r w:rsidRPr="00981A4B">
                                <w:rPr>
                                  <w:rStyle w:val="Hyperlink"/>
                                  <w:rFonts w:cs="Arial"/>
                                  <w:b/>
                                  <w:color w:val="FFFFFF" w:themeColor="background1"/>
                                  <w:sz w:val="24"/>
                                  <w:szCs w:val="24"/>
                                </w:rPr>
                                <w:t>becoming a member</w:t>
                              </w:r>
                            </w:hyperlink>
                            <w:r w:rsidRPr="00981A4B">
                              <w:rPr>
                                <w:rFonts w:cs="Arial"/>
                                <w:b/>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14519" id="_x0000_s1029" type="#_x0000_t202" style="position:absolute;left:0;text-align:left;margin-left:-3in;margin-top:-59.4pt;width:590.2pt;height:4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" fillcolor="#c00000" strokecolor="#c00000">
                <v:textbox>
                  <w:txbxContent>
                    <w:p w14:paraId="136EE4B9" w14:textId="77777777" w:rsidR="00C117A8" w:rsidRPr="00981A4B" w:rsidRDefault="00C117A8" w:rsidP="00A97B45">
                      <w:pPr>
                        <w:jc w:val="center"/>
                        <w:rPr>
                          <w:rFonts w:cs="Arial"/>
                          <w:b/>
                          <w:color w:val="FFFFFF" w:themeColor="background1"/>
                          <w:sz w:val="24"/>
                          <w:szCs w:val="24"/>
                        </w:rPr>
                      </w:pPr>
                      <w:r w:rsidRPr="00981A4B">
                        <w:rPr>
                          <w:rFonts w:cs="Arial"/>
                          <w:b/>
                          <w:color w:val="FFFFFF" w:themeColor="background1"/>
                          <w:sz w:val="24"/>
                          <w:szCs w:val="24"/>
                        </w:rPr>
                        <w:t xml:space="preserve">To see other CME articles, go to: </w:t>
                      </w:r>
                      <w:r w:rsidRPr="00981A4B">
                        <w:rPr>
                          <w:rFonts w:cs="Arial"/>
                          <w:b/>
                          <w:color w:val="FFFFFF" w:themeColor="background1"/>
                          <w:sz w:val="24"/>
                          <w:szCs w:val="24"/>
                          <w:u w:val="single"/>
                        </w:rPr>
                        <w:t>www.</w:t>
                      </w:r>
                      <w:hyperlink r:id="rId11" w:history="1">
                        <w:r w:rsidRPr="00981A4B">
                          <w:rPr>
                            <w:rStyle w:val="Hyperlink"/>
                            <w:rFonts w:cs="Arial"/>
                            <w:b/>
                            <w:color w:val="FFFFFF" w:themeColor="background1"/>
                            <w:sz w:val="24"/>
                            <w:szCs w:val="24"/>
                          </w:rPr>
                          <w:t>geriatricsjournal.ca</w:t>
                        </w:r>
                      </w:hyperlink>
                      <w:r w:rsidRPr="00981A4B">
                        <w:rPr>
                          <w:rFonts w:cs="Arial"/>
                          <w:b/>
                          <w:color w:val="FFFFFF" w:themeColor="background1"/>
                          <w:sz w:val="24"/>
                          <w:szCs w:val="24"/>
                        </w:rPr>
                        <w:br/>
                      </w:r>
                      <w:r w:rsidRPr="00981A4B">
                        <w:rPr>
                          <w:rFonts w:cs="Arial"/>
                          <w:color w:val="FFFFFF" w:themeColor="background1"/>
                          <w:sz w:val="24"/>
                          <w:szCs w:val="24"/>
                        </w:rPr>
                        <w:t xml:space="preserve">If you are interested in receiving this publication on a regular basis, please consider </w:t>
                      </w:r>
                      <w:hyperlink r:id="rId12" w:history="1">
                        <w:r w:rsidRPr="00981A4B">
                          <w:rPr>
                            <w:rStyle w:val="Hyperlink"/>
                            <w:rFonts w:cs="Arial"/>
                            <w:b/>
                            <w:color w:val="FFFFFF" w:themeColor="background1"/>
                            <w:sz w:val="24"/>
                            <w:szCs w:val="24"/>
                          </w:rPr>
                          <w:t>becoming a member</w:t>
                        </w:r>
                      </w:hyperlink>
                      <w:r w:rsidRPr="00981A4B">
                        <w:rPr>
                          <w:rFonts w:cs="Arial"/>
                          <w:b/>
                          <w:color w:val="FFFFFF" w:themeColor="background1"/>
                          <w:sz w:val="24"/>
                          <w:szCs w:val="24"/>
                        </w:rPr>
                        <w:t>.</w:t>
                      </w:r>
                    </w:p>
                  </w:txbxContent>
                </v:textbox>
              </v:shape>
            </w:pict>
          </mc:Fallback>
        </mc:AlternateContent>
      </w:r>
      <w:r w:rsidR="00A97B45" w:rsidRPr="00E5654F">
        <w:rPr>
          <w:noProof/>
          <w:color w:val="C00000"/>
          <w:sz w:val="44"/>
          <w:lang w:val="en-CA" w:eastAsia="en-CA"/>
        </w:rPr>
        <mc:AlternateContent>
          <mc:Choice Requires="wps">
            <w:drawing>
              <wp:anchor distT="0" distB="0" distL="114300" distR="114300" simplePos="0" relativeHeight="251664384" behindDoc="0" locked="0" layoutInCell="1" allowOverlap="1" wp14:anchorId="2D77B584" wp14:editId="647B4F29">
                <wp:simplePos x="0" y="0"/>
                <wp:positionH relativeFrom="column">
                  <wp:posOffset>-2747010</wp:posOffset>
                </wp:positionH>
                <wp:positionV relativeFrom="paragraph">
                  <wp:posOffset>-829945</wp:posOffset>
                </wp:positionV>
                <wp:extent cx="7495540" cy="616585"/>
                <wp:effectExtent l="0" t="0" r="10160" b="12065"/>
                <wp:wrapNone/>
                <wp:docPr id="5" name="Rectangle 5"/>
                <wp:cNvGraphicFramePr/>
                <a:graphic xmlns:a="http://schemas.openxmlformats.org/drawingml/2006/main">
                  <a:graphicData uri="http://schemas.microsoft.com/office/word/2010/wordprocessingShape">
                    <wps:wsp>
                      <wps:cNvSpPr/>
                      <wps:spPr>
                        <a:xfrm>
                          <a:off x="0" y="0"/>
                          <a:ext cx="7495540" cy="616585"/>
                        </a:xfrm>
                        <a:prstGeom prst="rect">
                          <a:avLst/>
                        </a:prstGeom>
                        <a:solidFill>
                          <a:srgbClr val="C00000"/>
                        </a:solidFill>
                        <a:ln>
                          <a:solidFill>
                            <a:srgbClr val="A804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036A8" id="Rectangle 5" o:spid="_x0000_s1026" style="position:absolute;margin-left:-216.3pt;margin-top:-65.35pt;width:590.2pt;height: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" fillcolor="#c00000" strokecolor="#a80401" strokeweight="2pt"/>
            </w:pict>
          </mc:Fallback>
        </mc:AlternateContent>
      </w:r>
      <w:r w:rsidR="000E1167">
        <w:rPr>
          <w:rFonts w:ascii="Calibri" w:hAnsi="Calibri"/>
          <w:color w:val="C00000"/>
          <w:sz w:val="44"/>
        </w:rPr>
        <w:t>ADVANCING THE CARE OF OLDER ADULTS IN CANADA: A REPORT OF THE FIRST CANADIAN GERIATRIC ONCOLOGY CONFERENCE</w:t>
      </w:r>
    </w:p>
    <w:p w14:paraId="60141B2F" w14:textId="77777777" w:rsidR="000E1167" w:rsidRDefault="000E1167" w:rsidP="00B40A5A">
      <w:pPr>
        <w:pStyle w:val="Pa9"/>
        <w:spacing w:line="240" w:lineRule="auto"/>
        <w:ind w:left="-284" w:right="-720"/>
        <w:jc w:val="both"/>
        <w:rPr>
          <w:rFonts w:ascii="Verdana" w:hAnsi="Verdana" w:cs="Univers 55"/>
          <w:b/>
          <w:color w:val="A80401"/>
          <w:sz w:val="20"/>
          <w:szCs w:val="20"/>
        </w:rPr>
      </w:pPr>
    </w:p>
    <w:p w14:paraId="7E63C72B" w14:textId="77777777" w:rsidR="001A232B" w:rsidRPr="00EA3164" w:rsidRDefault="001A232B" w:rsidP="00B40A5A">
      <w:pPr>
        <w:pStyle w:val="Pa9"/>
        <w:spacing w:line="240" w:lineRule="auto"/>
        <w:ind w:left="-284" w:right="-720"/>
        <w:jc w:val="both"/>
        <w:rPr>
          <w:rFonts w:ascii="Verdana" w:hAnsi="Verdana" w:cs="Univers 55"/>
          <w:b/>
          <w:color w:val="A80401"/>
          <w:sz w:val="20"/>
          <w:szCs w:val="20"/>
        </w:rPr>
      </w:pPr>
      <w:r w:rsidRPr="00EA3164">
        <w:rPr>
          <w:rFonts w:ascii="Verdana" w:hAnsi="Verdana" w:cs="Univers 55"/>
          <w:b/>
          <w:color w:val="A80401"/>
          <w:sz w:val="20"/>
          <w:szCs w:val="20"/>
        </w:rPr>
        <w:t>Abstract</w:t>
      </w:r>
    </w:p>
    <w:p w14:paraId="54DCA871" w14:textId="77777777" w:rsidR="001A232B" w:rsidRPr="00EA3164" w:rsidRDefault="001A232B" w:rsidP="00581DBA">
      <w:pPr>
        <w:spacing w:after="0" w:line="240" w:lineRule="auto"/>
        <w:ind w:left="-284"/>
        <w:rPr>
          <w:rFonts w:ascii="Verdana" w:hAnsi="Verdana"/>
          <w:sz w:val="20"/>
          <w:szCs w:val="20"/>
        </w:rPr>
      </w:pPr>
    </w:p>
    <w:p w14:paraId="3036DF94" w14:textId="77777777" w:rsidR="001A232B" w:rsidRPr="00EA3164" w:rsidRDefault="000E1167" w:rsidP="00180484">
      <w:pPr>
        <w:spacing w:after="0" w:line="240" w:lineRule="atLeast"/>
        <w:ind w:left="-284"/>
        <w:rPr>
          <w:rFonts w:ascii="Verdana" w:hAnsi="Verdana"/>
          <w:color w:val="1C1C1C"/>
          <w:sz w:val="20"/>
          <w:szCs w:val="20"/>
        </w:rPr>
      </w:pPr>
      <w:r w:rsidRPr="000E1167">
        <w:rPr>
          <w:rFonts w:ascii="Verdana" w:hAnsi="Verdana"/>
          <w:color w:val="1C1C1C"/>
          <w:sz w:val="20"/>
          <w:szCs w:val="20"/>
        </w:rPr>
        <w:t>The population of older adults is growing, accounting for the majority of the predicted rise in cancer diagnoses. Older adults have unique needs prompting tailored oncologic care. Based on a national needs assessment, the Canadian Network for Aging and Cancer (CNAC) planned the First Annual Geriatric Oncology Conference, under the auspices of the International Society of Geriatric Oncology (SIOG), to be a full-day interactive interdisciplinary continuing professional education event targeting medical oncologists, radiation oncologists, surgical oncologists, geriatricians, pharmacists, family physicians, nurses, physiotherapists, occupational therapists, and social workers. The importance of geriatric assessment was highlighted in identifying unrecognized impairments for tailored treatment, improving risk stratification and prognostication, guiding treatment decisions, and informing patient-</w:t>
      </w:r>
      <w:proofErr w:type="spellStart"/>
      <w:r w:rsidRPr="000E1167">
        <w:rPr>
          <w:rFonts w:ascii="Verdana" w:hAnsi="Verdana"/>
          <w:color w:val="1C1C1C"/>
          <w:sz w:val="20"/>
          <w:szCs w:val="20"/>
        </w:rPr>
        <w:t>centred</w:t>
      </w:r>
      <w:proofErr w:type="spellEnd"/>
      <w:r w:rsidRPr="000E1167">
        <w:rPr>
          <w:rFonts w:ascii="Verdana" w:hAnsi="Verdana"/>
          <w:color w:val="1C1C1C"/>
          <w:sz w:val="20"/>
          <w:szCs w:val="20"/>
        </w:rPr>
        <w:t xml:space="preserve"> care. Breakout sessions focused on further interactive and hands-on topics including preoperative assessment and </w:t>
      </w:r>
      <w:proofErr w:type="spellStart"/>
      <w:r w:rsidRPr="000E1167">
        <w:rPr>
          <w:rFonts w:ascii="Verdana" w:hAnsi="Verdana"/>
          <w:color w:val="1C1C1C"/>
          <w:sz w:val="20"/>
          <w:szCs w:val="20"/>
        </w:rPr>
        <w:t>prehabilitation</w:t>
      </w:r>
      <w:proofErr w:type="spellEnd"/>
      <w:r w:rsidRPr="000E1167">
        <w:rPr>
          <w:rFonts w:ascii="Verdana" w:hAnsi="Verdana"/>
          <w:color w:val="1C1C1C"/>
          <w:sz w:val="20"/>
          <w:szCs w:val="20"/>
        </w:rPr>
        <w:t>, cognition, nutrition, toxicity prediction, management, and modifications. We describe this conference and summarize the key learning points.</w:t>
      </w:r>
    </w:p>
    <w:p w14:paraId="442BF327" w14:textId="77777777" w:rsidR="000901B7" w:rsidRPr="00873D91" w:rsidRDefault="001A232B" w:rsidP="00873D91">
      <w:pPr>
        <w:spacing w:after="0" w:line="240" w:lineRule="atLeast"/>
        <w:ind w:left="-284"/>
        <w:rPr>
          <w:rFonts w:ascii="Verdana" w:hAnsi="Verdana"/>
          <w:color w:val="1C1C1C"/>
          <w:sz w:val="20"/>
          <w:szCs w:val="20"/>
        </w:rPr>
      </w:pPr>
      <w:r w:rsidRPr="00EA3164">
        <w:rPr>
          <w:rFonts w:ascii="Verdana" w:hAnsi="Verdana"/>
          <w:noProof/>
          <w:color w:val="1C1C1C"/>
          <w:sz w:val="20"/>
          <w:szCs w:val="20"/>
          <w:lang w:val="en-CA" w:eastAsia="en-CA"/>
        </w:rPr>
        <mc:AlternateContent>
          <mc:Choice Requires="wps">
            <w:drawing>
              <wp:anchor distT="0" distB="0" distL="114300" distR="114300" simplePos="0" relativeHeight="251668480" behindDoc="0" locked="0" layoutInCell="1" allowOverlap="1" wp14:anchorId="6998B94D" wp14:editId="23099DE9">
                <wp:simplePos x="0" y="0"/>
                <wp:positionH relativeFrom="column">
                  <wp:posOffset>-80010</wp:posOffset>
                </wp:positionH>
                <wp:positionV relativeFrom="paragraph">
                  <wp:posOffset>74930</wp:posOffset>
                </wp:positionV>
                <wp:extent cx="446913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4469130" cy="0"/>
                        </a:xfrm>
                        <a:prstGeom prst="line">
                          <a:avLst/>
                        </a:prstGeom>
                        <a:ln w="12700">
                          <a:solidFill>
                            <a:srgbClr val="A8040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9B3E75" id="Straight Connector 1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5.9pt" to="345.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" strokecolor="#a80401" strokeweight="1pt"/>
            </w:pict>
          </mc:Fallback>
        </mc:AlternateContent>
      </w:r>
      <w:r w:rsidR="00873D91">
        <w:rPr>
          <w:rFonts w:ascii="Verdana" w:hAnsi="Verdana"/>
          <w:color w:val="1C1C1C"/>
          <w:sz w:val="20"/>
          <w:szCs w:val="20"/>
        </w:rPr>
        <w:br/>
      </w:r>
      <w:r w:rsidR="00873D91">
        <w:rPr>
          <w:rFonts w:ascii="Verdana" w:hAnsi="Verdana"/>
          <w:color w:val="1C1C1C"/>
          <w:sz w:val="20"/>
          <w:szCs w:val="20"/>
        </w:rPr>
        <w:br/>
      </w:r>
      <w:r w:rsidR="00873D91">
        <w:rPr>
          <w:rFonts w:ascii="Verdana" w:hAnsi="Verdana"/>
          <w:color w:val="1C1C1C"/>
          <w:sz w:val="20"/>
          <w:szCs w:val="20"/>
        </w:rPr>
        <w:br/>
      </w:r>
      <w:r w:rsidR="00873D91">
        <w:rPr>
          <w:rFonts w:ascii="Verdana" w:eastAsiaTheme="minorEastAsia" w:hAnsi="Verdana"/>
          <w:sz w:val="20"/>
          <w:szCs w:val="20"/>
          <w:lang w:val="en-CA" w:eastAsia="zh-CN"/>
        </w:rPr>
        <w:br/>
      </w:r>
      <w:r w:rsidR="000901B7" w:rsidRPr="000901B7">
        <w:rPr>
          <w:rFonts w:ascii="Verdana" w:eastAsiaTheme="minorEastAsia" w:hAnsi="Verdana"/>
          <w:sz w:val="20"/>
          <w:szCs w:val="20"/>
          <w:lang w:val="en-CA" w:eastAsia="zh-CN"/>
        </w:rPr>
        <w:t>This article has been peer reviewed.</w:t>
      </w:r>
    </w:p>
    <w:p w14:paraId="651BF675" w14:textId="77777777" w:rsidR="000E1167" w:rsidRDefault="00873D91" w:rsidP="000E1167">
      <w:pPr>
        <w:spacing w:after="0" w:line="240" w:lineRule="auto"/>
        <w:ind w:left="-284"/>
        <w:rPr>
          <w:rFonts w:ascii="Verdana" w:eastAsiaTheme="minorEastAsia" w:hAnsi="Verdana"/>
          <w:sz w:val="20"/>
          <w:szCs w:val="20"/>
          <w:lang w:val="en-CA" w:eastAsia="zh-CN"/>
        </w:rPr>
      </w:pPr>
      <w:r>
        <w:rPr>
          <w:rFonts w:ascii="Verdana" w:eastAsiaTheme="minorEastAsia" w:hAnsi="Verdana"/>
          <w:b/>
          <w:sz w:val="20"/>
          <w:szCs w:val="20"/>
          <w:lang w:val="en-CA" w:eastAsia="zh-CN"/>
        </w:rPr>
        <w:br/>
      </w:r>
      <w:r w:rsidR="000901B7" w:rsidRPr="000901B7">
        <w:rPr>
          <w:rFonts w:ascii="Verdana" w:eastAsiaTheme="minorEastAsia" w:hAnsi="Verdana"/>
          <w:b/>
          <w:sz w:val="20"/>
          <w:szCs w:val="20"/>
          <w:lang w:val="en-CA" w:eastAsia="zh-CN"/>
        </w:rPr>
        <w:t>Conflict of Interest:</w:t>
      </w:r>
      <w:r w:rsidR="000901B7" w:rsidRPr="000901B7">
        <w:rPr>
          <w:rFonts w:ascii="Verdana" w:eastAsiaTheme="minorEastAsia" w:hAnsi="Verdana"/>
          <w:sz w:val="20"/>
          <w:szCs w:val="20"/>
          <w:lang w:val="en-CA" w:eastAsia="zh-CN"/>
        </w:rPr>
        <w:t xml:space="preserve"> </w:t>
      </w:r>
    </w:p>
    <w:p w14:paraId="7CCAD7CB" w14:textId="77777777" w:rsidR="000E1167" w:rsidRDefault="000E1167" w:rsidP="000E1167">
      <w:pPr>
        <w:spacing w:after="0" w:line="240" w:lineRule="auto"/>
        <w:ind w:left="-284"/>
        <w:rPr>
          <w:rFonts w:ascii="Verdana" w:eastAsiaTheme="minorEastAsia" w:hAnsi="Verdana"/>
          <w:sz w:val="20"/>
          <w:szCs w:val="20"/>
          <w:lang w:val="en-CA" w:eastAsia="zh-CN"/>
        </w:rPr>
      </w:pPr>
    </w:p>
    <w:p w14:paraId="0CC5792A" w14:textId="77777777" w:rsidR="000E1167" w:rsidRDefault="000E1167" w:rsidP="000E1167">
      <w:pPr>
        <w:spacing w:after="0" w:line="240" w:lineRule="auto"/>
        <w:ind w:left="-284"/>
        <w:rPr>
          <w:rFonts w:ascii="Verdana" w:eastAsiaTheme="minorEastAsia" w:hAnsi="Verdana"/>
          <w:sz w:val="20"/>
          <w:szCs w:val="20"/>
          <w:lang w:val="en-CA" w:eastAsia="zh-CN"/>
        </w:rPr>
      </w:pPr>
      <w:r w:rsidRPr="000E1167">
        <w:rPr>
          <w:rFonts w:ascii="Verdana" w:eastAsiaTheme="minorEastAsia" w:hAnsi="Verdana"/>
          <w:sz w:val="20"/>
          <w:szCs w:val="20"/>
          <w:lang w:val="en-CA" w:eastAsia="zh-CN"/>
        </w:rPr>
        <w:t xml:space="preserve">Tina Hsu has received honoraria from </w:t>
      </w:r>
      <w:proofErr w:type="spellStart"/>
      <w:r w:rsidRPr="000E1167">
        <w:rPr>
          <w:rFonts w:ascii="Verdana" w:eastAsiaTheme="minorEastAsia" w:hAnsi="Verdana"/>
          <w:sz w:val="20"/>
          <w:szCs w:val="20"/>
          <w:lang w:val="en-CA" w:eastAsia="zh-CN"/>
        </w:rPr>
        <w:t>Apobiologix</w:t>
      </w:r>
      <w:proofErr w:type="spellEnd"/>
      <w:r w:rsidRPr="000E1167">
        <w:rPr>
          <w:rFonts w:ascii="Verdana" w:eastAsiaTheme="minorEastAsia" w:hAnsi="Verdana"/>
          <w:sz w:val="20"/>
          <w:szCs w:val="20"/>
          <w:lang w:val="en-CA" w:eastAsia="zh-CN"/>
        </w:rPr>
        <w:t xml:space="preserve">, Celgene, </w:t>
      </w:r>
      <w:proofErr w:type="spellStart"/>
      <w:r w:rsidRPr="000E1167">
        <w:rPr>
          <w:rFonts w:ascii="Verdana" w:eastAsiaTheme="minorEastAsia" w:hAnsi="Verdana"/>
          <w:sz w:val="20"/>
          <w:szCs w:val="20"/>
          <w:lang w:val="en-CA" w:eastAsia="zh-CN"/>
        </w:rPr>
        <w:t>Ipsen</w:t>
      </w:r>
      <w:proofErr w:type="spellEnd"/>
      <w:r w:rsidRPr="000E1167">
        <w:rPr>
          <w:rFonts w:ascii="Verdana" w:eastAsiaTheme="minorEastAsia" w:hAnsi="Verdana"/>
          <w:sz w:val="20"/>
          <w:szCs w:val="20"/>
          <w:lang w:val="en-CA" w:eastAsia="zh-CN"/>
        </w:rPr>
        <w:t xml:space="preserve">, Eisai, and Genomic Health. David Dawe attended advisory boards for Merck and AstraZeneca, and received educational content honoraria from </w:t>
      </w:r>
      <w:proofErr w:type="spellStart"/>
      <w:r w:rsidRPr="000E1167">
        <w:rPr>
          <w:rFonts w:ascii="Verdana" w:eastAsiaTheme="minorEastAsia" w:hAnsi="Verdana"/>
          <w:sz w:val="20"/>
          <w:szCs w:val="20"/>
          <w:lang w:val="en-CA" w:eastAsia="zh-CN"/>
        </w:rPr>
        <w:t>Boehringer-Ingelheim</w:t>
      </w:r>
      <w:proofErr w:type="spellEnd"/>
      <w:r w:rsidRPr="000E1167">
        <w:rPr>
          <w:rFonts w:ascii="Verdana" w:eastAsiaTheme="minorEastAsia" w:hAnsi="Verdana"/>
          <w:sz w:val="20"/>
          <w:szCs w:val="20"/>
          <w:lang w:val="en-CA" w:eastAsia="zh-CN"/>
        </w:rPr>
        <w:t>. The remaining authors have no conflicts of interest. There are no funding sources for this study.</w:t>
      </w:r>
    </w:p>
    <w:p w14:paraId="0EC601D3" w14:textId="77777777" w:rsidR="000E1167" w:rsidRDefault="000E1167" w:rsidP="000901B7">
      <w:pPr>
        <w:spacing w:after="0" w:line="480" w:lineRule="auto"/>
        <w:ind w:left="-284"/>
        <w:rPr>
          <w:rFonts w:ascii="Verdana" w:eastAsiaTheme="minorEastAsia" w:hAnsi="Verdana"/>
          <w:sz w:val="20"/>
          <w:szCs w:val="20"/>
          <w:lang w:val="en-CA" w:eastAsia="zh-CN"/>
        </w:rPr>
      </w:pPr>
    </w:p>
    <w:p w14:paraId="5D40ACA7" w14:textId="77777777" w:rsidR="008B75C5" w:rsidRDefault="000901B7" w:rsidP="000901B7">
      <w:pPr>
        <w:spacing w:after="0" w:line="480" w:lineRule="auto"/>
        <w:ind w:left="-284"/>
        <w:rPr>
          <w:rFonts w:ascii="Verdana" w:eastAsiaTheme="minorEastAsia" w:hAnsi="Verdana"/>
          <w:sz w:val="20"/>
          <w:szCs w:val="20"/>
          <w:lang w:val="en-CA" w:eastAsia="zh-CN"/>
        </w:rPr>
      </w:pPr>
      <w:r w:rsidRPr="000901B7">
        <w:rPr>
          <w:rFonts w:ascii="Verdana" w:eastAsiaTheme="minorEastAsia" w:hAnsi="Verdana"/>
          <w:sz w:val="20"/>
          <w:szCs w:val="20"/>
          <w:lang w:val="en-CA" w:eastAsia="zh-CN"/>
        </w:rPr>
        <w:t>T</w:t>
      </w:r>
      <w:r w:rsidR="00873D91">
        <w:rPr>
          <w:rFonts w:ascii="Verdana" w:eastAsiaTheme="minorEastAsia" w:hAnsi="Verdana"/>
          <w:sz w:val="20"/>
          <w:szCs w:val="20"/>
          <w:lang w:val="en-CA" w:eastAsia="zh-CN"/>
        </w:rPr>
        <w:t xml:space="preserve">his article was published in </w:t>
      </w:r>
      <w:r w:rsidR="000E1167">
        <w:rPr>
          <w:rFonts w:ascii="Verdana" w:eastAsiaTheme="minorEastAsia" w:hAnsi="Verdana"/>
          <w:sz w:val="20"/>
          <w:szCs w:val="20"/>
          <w:lang w:val="en-CA" w:eastAsia="zh-CN"/>
        </w:rPr>
        <w:t>May 2020.</w:t>
      </w:r>
    </w:p>
    <w:p w14:paraId="152C7AEE" w14:textId="77777777" w:rsidR="008B75C5" w:rsidRDefault="008B75C5" w:rsidP="00B40A5A">
      <w:pPr>
        <w:spacing w:after="0" w:line="480" w:lineRule="auto"/>
        <w:ind w:left="-284"/>
        <w:rPr>
          <w:rFonts w:ascii="Verdana" w:hAnsi="Verdana"/>
          <w:color w:val="A80401"/>
          <w:sz w:val="20"/>
          <w:szCs w:val="20"/>
        </w:rPr>
        <w:sectPr w:rsidR="008B75C5" w:rsidSect="0032415C">
          <w:headerReference w:type="default" r:id="rId13"/>
          <w:footerReference w:type="default" r:id="rId14"/>
          <w:pgSz w:w="12240" w:h="15840"/>
          <w:pgMar w:top="1440" w:right="630" w:bottom="1440" w:left="4500" w:header="720" w:footer="967" w:gutter="0"/>
          <w:cols w:space="2520"/>
          <w:docGrid w:linePitch="360"/>
        </w:sectPr>
      </w:pPr>
    </w:p>
    <w:p w14:paraId="6674C464" w14:textId="77777777" w:rsidR="000E1167" w:rsidRPr="000E1167" w:rsidRDefault="000E1167" w:rsidP="000E1167">
      <w:pPr>
        <w:spacing w:line="240" w:lineRule="auto"/>
        <w:rPr>
          <w:rFonts w:ascii="Verdana" w:eastAsia="Calibri" w:hAnsi="Verdana"/>
          <w:b/>
          <w:color w:val="C00000"/>
          <w:sz w:val="20"/>
        </w:rPr>
      </w:pPr>
      <w:r w:rsidRPr="000E1167">
        <w:rPr>
          <w:rFonts w:ascii="Verdana" w:eastAsia="Calibri" w:hAnsi="Verdana"/>
          <w:b/>
          <w:color w:val="C00000"/>
          <w:sz w:val="20"/>
        </w:rPr>
        <w:lastRenderedPageBreak/>
        <w:t>Key Points</w:t>
      </w:r>
    </w:p>
    <w:p w14:paraId="289F188E" w14:textId="77777777" w:rsidR="000E1167" w:rsidRPr="000E1167" w:rsidRDefault="000E1167" w:rsidP="000E1167">
      <w:pPr>
        <w:pStyle w:val="ListParagraph"/>
        <w:numPr>
          <w:ilvl w:val="0"/>
          <w:numId w:val="4"/>
        </w:numPr>
        <w:spacing w:after="0" w:line="240" w:lineRule="auto"/>
        <w:rPr>
          <w:rFonts w:ascii="Verdana" w:eastAsia="Calibri" w:hAnsi="Verdana"/>
          <w:sz w:val="20"/>
        </w:rPr>
      </w:pPr>
      <w:r w:rsidRPr="000E1167">
        <w:rPr>
          <w:rFonts w:ascii="Verdana" w:eastAsia="Calibri" w:hAnsi="Verdana"/>
          <w:sz w:val="20"/>
        </w:rPr>
        <w:t xml:space="preserve">The older adult population is growing and accounts for growing cancer diagnoses prompting tailored oncologic care needs. </w:t>
      </w:r>
    </w:p>
    <w:p w14:paraId="7A7DCC76" w14:textId="77777777" w:rsidR="000E1167" w:rsidRPr="000E1167" w:rsidRDefault="000E1167" w:rsidP="000E1167">
      <w:pPr>
        <w:pStyle w:val="ListParagraph"/>
        <w:numPr>
          <w:ilvl w:val="0"/>
          <w:numId w:val="4"/>
        </w:numPr>
        <w:spacing w:after="0" w:line="240" w:lineRule="auto"/>
        <w:rPr>
          <w:rFonts w:ascii="Verdana" w:eastAsia="Calibri" w:hAnsi="Verdana"/>
          <w:sz w:val="20"/>
        </w:rPr>
      </w:pPr>
      <w:r w:rsidRPr="000E1167">
        <w:rPr>
          <w:rFonts w:ascii="Verdana" w:eastAsia="Calibri" w:hAnsi="Verdana"/>
          <w:sz w:val="20"/>
        </w:rPr>
        <w:t xml:space="preserve">The First Annual Geriatric Oncology Conference was held to address gaps in knowledge identified in a needs assessment of Canadian healthcare practitioners. </w:t>
      </w:r>
    </w:p>
    <w:p w14:paraId="4719B2A5" w14:textId="77777777" w:rsidR="000E1167" w:rsidRPr="000E1167" w:rsidRDefault="000E1167" w:rsidP="000E1167">
      <w:pPr>
        <w:pStyle w:val="ListParagraph"/>
        <w:numPr>
          <w:ilvl w:val="0"/>
          <w:numId w:val="4"/>
        </w:numPr>
        <w:spacing w:after="0" w:line="240" w:lineRule="auto"/>
        <w:rPr>
          <w:rFonts w:ascii="Verdana" w:eastAsia="Calibri" w:hAnsi="Verdana"/>
          <w:sz w:val="20"/>
        </w:rPr>
      </w:pPr>
      <w:r w:rsidRPr="000E1167">
        <w:rPr>
          <w:rFonts w:ascii="Verdana" w:eastAsia="Calibri" w:hAnsi="Verdana"/>
          <w:bCs/>
          <w:sz w:val="20"/>
        </w:rPr>
        <w:t xml:space="preserve">The importance of geriatric assessment was highlighted in identifying unrecognized impairments for tailored treatment, improving risk stratification and prognostication, guiding treatment decisions, and informing patient-centred care. </w:t>
      </w:r>
    </w:p>
    <w:p w14:paraId="3FE72D72" w14:textId="77777777" w:rsidR="000E1167" w:rsidRPr="000E1167" w:rsidRDefault="000E1167" w:rsidP="000E1167">
      <w:pPr>
        <w:pStyle w:val="ListParagraph"/>
        <w:numPr>
          <w:ilvl w:val="0"/>
          <w:numId w:val="4"/>
        </w:numPr>
        <w:spacing w:after="0" w:line="240" w:lineRule="auto"/>
        <w:rPr>
          <w:rFonts w:ascii="Verdana" w:eastAsia="Calibri" w:hAnsi="Verdana"/>
          <w:sz w:val="20"/>
        </w:rPr>
      </w:pPr>
      <w:r w:rsidRPr="000E1167">
        <w:rPr>
          <w:rFonts w:ascii="Verdana" w:eastAsia="Calibri" w:hAnsi="Verdana"/>
          <w:bCs/>
          <w:sz w:val="20"/>
        </w:rPr>
        <w:t xml:space="preserve">Breakout sessions focused on further interactive and hands-on topics including preoperative assessment and </w:t>
      </w:r>
      <w:proofErr w:type="spellStart"/>
      <w:r w:rsidRPr="000E1167">
        <w:rPr>
          <w:rFonts w:ascii="Verdana" w:eastAsia="Calibri" w:hAnsi="Verdana"/>
          <w:bCs/>
          <w:sz w:val="20"/>
        </w:rPr>
        <w:t>prehabilitation</w:t>
      </w:r>
      <w:proofErr w:type="spellEnd"/>
      <w:r w:rsidRPr="000E1167">
        <w:rPr>
          <w:rFonts w:ascii="Verdana" w:eastAsia="Calibri" w:hAnsi="Verdana"/>
          <w:bCs/>
          <w:sz w:val="20"/>
        </w:rPr>
        <w:t>, cognition, nutrition, toxicity prediction, management, and modifications.</w:t>
      </w:r>
    </w:p>
    <w:p w14:paraId="22C74F86" w14:textId="77777777" w:rsidR="000E1167" w:rsidRDefault="000E1167" w:rsidP="00D42F9C">
      <w:pPr>
        <w:pStyle w:val="Pa9"/>
        <w:spacing w:line="240" w:lineRule="auto"/>
        <w:ind w:right="-720"/>
        <w:rPr>
          <w:rFonts w:ascii="Verdana" w:hAnsi="Verdana" w:cs="Univers 55"/>
          <w:b/>
          <w:color w:val="C00000"/>
          <w:sz w:val="20"/>
          <w:szCs w:val="20"/>
        </w:rPr>
      </w:pPr>
    </w:p>
    <w:p w14:paraId="53428ABD" w14:textId="77777777" w:rsidR="000E1167" w:rsidRPr="000E1167" w:rsidRDefault="000E1167" w:rsidP="000E1167">
      <w:pPr>
        <w:spacing w:line="240" w:lineRule="auto"/>
        <w:jc w:val="both"/>
        <w:rPr>
          <w:rFonts w:ascii="Verdana" w:eastAsia="Calibri" w:hAnsi="Verdana"/>
          <w:color w:val="C00000"/>
          <w:sz w:val="20"/>
        </w:rPr>
      </w:pPr>
      <w:r>
        <w:rPr>
          <w:rFonts w:ascii="Verdana" w:eastAsia="Calibri" w:hAnsi="Verdana"/>
          <w:b/>
          <w:color w:val="C00000"/>
          <w:sz w:val="20"/>
        </w:rPr>
        <w:t>Introduction</w:t>
      </w:r>
    </w:p>
    <w:p w14:paraId="3AD1644E" w14:textId="06CAEC16" w:rsidR="000E1167" w:rsidRPr="000E1167" w:rsidRDefault="000E1167" w:rsidP="000E1167">
      <w:pPr>
        <w:spacing w:line="240" w:lineRule="auto"/>
        <w:jc w:val="both"/>
        <w:rPr>
          <w:rFonts w:ascii="Verdana" w:eastAsia="Calibri" w:hAnsi="Verdana"/>
          <w:bCs/>
          <w:sz w:val="20"/>
        </w:rPr>
      </w:pPr>
      <w:r w:rsidRPr="000E1167">
        <w:rPr>
          <w:rFonts w:ascii="Verdana" w:eastAsia="Calibri" w:hAnsi="Verdana"/>
          <w:bCs/>
          <w:sz w:val="20"/>
        </w:rPr>
        <w:t>Adults older than 65 account for nearly 70% of new cancers.</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{"citationItems":[{"id":"ITEM-1","itemData":{"ISSN":"1474-1768","author":[{"dropping-particle":"","family":"Balducci","given":"Lodovico","non-dropping-particle":"","parse-names":false,"suffix":""},{"dropping-particle":"","family":"Ershler","given":"William B","non-dropping-particle":"","parse-names":false,"suffix":""}],"container-title":"Nature Reviews Cancer","id":"ITEM-1","issue":"8","issued":{"date-parts":[["2005"]]},"page":"655","publisher":"Nature Publishing Group","title":"Cancer and ageing: a nexus at several levels","type":"article-journal","volume":"5"},"uris":["http://www.mendeley.com/documents/?uuid=77230f02-15df-461e-b59d-8092239f3133"]},{"id":"ITEM-2","itemData":{"ISSN":"1083-7159","author":[{"dropping-particle":"","family":"Ries","given":"Lynn A Gloeckler","non-dropping-particle":"","parse-names":false,"suffix":""},{"dropping-particle":"","family":"Reichman","given":"Marsha E","non-dropping-particle":"","parse-names":false,"suffix":""},{"dropping-particle":"","family":"Lewis","given":"Denise Riedel","non-dropping-particle":"","parse-names":false,"suffix":""},{"dropping-particle":"","family":"Hankey","given":"Benjamin F","non-dropping-particle":"","parse-names":false,"suffix":""},{"dropping-particle":"","family":"Edwards","given":"Brenda K","non-dropping-particle":"","parse-names":false,"suffix":""}],"container-title":"The oncologist","id":"ITEM-2","issue":"6","issued":{"date-parts":[["2003"]]},"page":"541-552","publisher":"AlphaMed Press","title":"Cancer survival and incidence from the Surveillance, Epidemiology, and End Results (SEER) program","type":"article-journal","volume":"8"},"uris":["http://www.mendeley.com/documents/?uuid=a80e89b9-b58b-4b18-b3ed-2bb4310229d1"]},{"id":"ITEM-3","itemData":{"ISSN":"0008-543X","author":[{"dropping-particle":"","family":"Edwards","given":"Brenda K","non-dropping-particle":"","parse-names":false,"suffix":""},{"dropping-particle":"","family":"Howe","given":"Holly L","non-dropping-particle":"","parse-names":false,"suffix":""},{"dropping-particle":"","family":"Ries","given":"Lynn A G","non-dropping-particle":"","parse-names":false,"suffix":""},{"dropping-particle":"","family":"Thun","given":"Michael J","non-dropping-particle":"","parse-names":false,"suffix":""},{"dropping-particle":"","family":"Rosenberg","given":"Harry M","non-dropping-particle":"","parse-names":false,"suffix":""},{"dropping-particle":"","family":"Yancik","given":"Rosemary","non-dropping-particle":"","parse-names":false,"suffix":""},{"dropping-particle":"","family":"Wingo","given":"Phyllis A","non-dropping-particle":"","parse-names":false,"suffix":""},{"dropping-particle":"","family":"Jemal","given":"Ahmedin","non-dropping-particle":"","parse-names":false,"suffix":""},{"dropping-particle":"","family":"Feigal","given":"Ellen G","non-dropping-particle":"","parse-names":false,"suffix":""}],"container-title":"Cancer","id":"ITEM-3","issue":"10","issued":{"date-parts":[["2002"]]},"page":"2766-2792","publisher":"Wiley Online Library","title":"Annual report to the nation on the status of cancer, 1973–1999, featuring implications of age and aging on US cancer burden","type":"article-journal","volume":"94"},"uris":["http://www.mendeley.com/documents/?uuid=37775cf6-5212-4cc4-9e0c-e76175298523"]},{"id":"ITEM-4","itemData":{"ISSN":"0732-183X","author":[{"dropping-particle":"","family":"Smith","given":"Benjamin D","non-dropping-particle":"","parse-names":false,"suffix":""},{"dropping-particle":"","family":"Smith","given":"Grace L","non-dropping-particle":"","parse-names":false,"suffix":""},{"dropping-particle":"","family":"Hurria","given":"Arti","non-dropping-particle":"","parse-names":false,"suffix":""},{"dropping-particle":"","family":"Hortobagyi","given":"Gabriel N","non-dropping-particle":"","parse-names":false,"suffix":""},{"dropping-particle":"","family":"Buchholz","given":"Thomas A","non-dropping-particle":"","parse-names":false,"suffix":""}],"container-title":"Journal of clinical oncology","id":"ITEM-4","issue":"17","issued":{"date-parts":[["2009"]]},"page":"2758-2765","publisher":"American Society of Clinical Oncology","title":"Future of cancer incidence in the United States: burdens upon an aging, changing nation","type":"article-journal","volume":"27"},"uris":["http://www.mendeley.com/documents/?uuid=b8ae4522-facf-4661-b438-32564607da01"]}],"mendeley":{"formattedCitation":"&lt;sup&gt;1–4&lt;/sup&gt;","plainTextFormattedCitation":"1–4","previouslyFormattedCitation":"&lt;sup&gt;1–4&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1–4</w:t>
      </w:r>
      <w:r w:rsidRPr="000E1167">
        <w:rPr>
          <w:rFonts w:ascii="Verdana" w:eastAsia="Calibri" w:hAnsi="Verdana"/>
          <w:bCs/>
          <w:sz w:val="20"/>
        </w:rPr>
        <w:fldChar w:fldCharType="end"/>
      </w:r>
      <w:r w:rsidRPr="000E1167">
        <w:rPr>
          <w:rFonts w:ascii="Verdana" w:eastAsia="Calibri" w:hAnsi="Verdana"/>
          <w:bCs/>
          <w:sz w:val="20"/>
        </w:rPr>
        <w:t xml:space="preserve"> In Canada, the aging population is a principal driver of the rising incidence of cancer.</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{"citationItems":[{"id":"ITEM-1","itemData":{"author":[{"dropping-particle":"","family":"Statistics Canada","given":"","non-dropping-particle":"","parse-names":false,"suffix":""}],"container-title":"Statistics Canada","id":"ITEM-1","issued":{"date-parts":[["2010"]]},"title":"Population Projections for Canada, Provinces and Territories: 2009 to 2036","type":"webpage"},"uris":["http://www.mendeley.com/documents/?uuid=3df7d819-d4eb-4d06-951a-048a70f49146"]},{"id":"ITEM-2","itemData":{"URL":"http://www.cancer.ca/~/media/cancer.ca/CW/cancer information/cancer 101/Canadian cancer statistics/Canadian-Cancer-Statistics-2015-EN.pdf?la=en","accessed":{"date-parts":[["2020","2","8"]]},"author":[{"dropping-particle":"","family":"Canadian Cancer Society’s Steering Committee on Can- cer Statistics","given":"","non-dropping-particle":"","parse-names":false,"suffix":""}],"container-title":"Canadian Cancer Society","id":"ITEM-2","issued":{"date-parts":[["2015"]]},"title":"Canadian Cancer Statistics 2015","type":"webpage"},"uris":["http://www.mendeley.com/documents/?uuid=67b0dfcc-6b30-48bc-93ac-469f37f6efb1"]}],"mendeley":{"formattedCitation":"&lt;sup&gt;5,6&lt;/sup&gt;","plainTextFormattedCitation":"5,6","previouslyFormattedCitation":"&lt;sup&gt;5,6&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5,6</w:t>
      </w:r>
      <w:r w:rsidRPr="000E1167">
        <w:rPr>
          <w:rFonts w:ascii="Verdana" w:eastAsia="Calibri" w:hAnsi="Verdana"/>
          <w:bCs/>
          <w:sz w:val="20"/>
        </w:rPr>
        <w:fldChar w:fldCharType="end"/>
      </w:r>
      <w:r w:rsidRPr="000E1167">
        <w:rPr>
          <w:rFonts w:ascii="Verdana" w:eastAsia="Calibri" w:hAnsi="Verdana"/>
          <w:bCs/>
          <w:sz w:val="20"/>
        </w:rPr>
        <w:t xml:space="preserve"> The Canadian Network on Aging and Cancer (CNAC) was founded to improve care of older adults with cancer through </w:t>
      </w:r>
      <w:proofErr w:type="spellStart"/>
      <w:r w:rsidRPr="000E1167">
        <w:rPr>
          <w:rFonts w:ascii="Verdana" w:eastAsia="Calibri" w:hAnsi="Verdana"/>
          <w:bCs/>
          <w:sz w:val="20"/>
        </w:rPr>
        <w:t>interprofessional</w:t>
      </w:r>
      <w:proofErr w:type="spellEnd"/>
      <w:r w:rsidRPr="000E1167">
        <w:rPr>
          <w:rFonts w:ascii="Verdana" w:eastAsia="Calibri" w:hAnsi="Verdana"/>
          <w:bCs/>
          <w:sz w:val="20"/>
        </w:rPr>
        <w:t xml:space="preserve"> collaboration in clinical care, research, and education.</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{"citationItems":[{"id":"ITEM-1","itemData":{"author":[{"dropping-particle":"","family":"Puts","given":"M T E","non-dropping-particle":"","parse-names":false,"suffix":""},{"dropping-particle":"","family":"Hsu","given":"T","non-dropping-particle":"","parse-names":false,"suffix":""},{"dropping-particle":"","family":"Szumacher","given":"E","non-dropping-particle":"","parse-names":false,"suffix":""},{"dropping-particle":"","family":"Sattar","given":"S","non-dropping-particle":"","parse-names":false,"suffix":""},{"dropping-particle":"","family":"Toubasi","given":"S","non-dropping-particle":"","parse-names":false,"suffix":""},{"dropping-particle":"","family":"Rosario","given":"C","non-dropping-particle":"","parse-names":false,"suffix":""},{"dropping-particle":"","family":"Brain","given":"E","non-dropping-particle":"","parse-names":false,"suffix":""},{"dropping-particle":"","family":"Duggleby","given":"W","non-dropping-particle":"","parse-names":false,"suffix":""},{"dropping-particle":"","family":"Mariano","given":"C","non-dropping-particle":"","parse-names":false,"suffix":""},{"dropping-particle":"","family":"Mohile","given":"S","non-dropping-particle":"","parse-names":false,"suffix":""}],"container-title":"Current Oncology","id":"ITEM-1","issue":"2","issued":{"date-parts":[["2017"]]},"page":"e163","publisher":"Multimed Inc.","title":"Meeting the needs of the aging population: the Canadian Network on Aging and Cancer—report on the first Network meeting, 27 April 2016","type":"article-journal","volume":"24"},"uris":["http://www.mendeley.com/documents/?uuid=0ea40bb8-07b1-4881-bfd8-587d55c2b331"]}],"mendeley":{"formattedCitation":"&lt;sup&gt;7&lt;/sup&gt;","plainTextFormattedCitation":"7","previouslyFormattedCitation":"&lt;sup&gt;7&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7</w:t>
      </w:r>
      <w:r w:rsidRPr="000E1167">
        <w:rPr>
          <w:rFonts w:ascii="Verdana" w:eastAsia="Calibri" w:hAnsi="Verdana"/>
          <w:bCs/>
          <w:sz w:val="20"/>
        </w:rPr>
        <w:fldChar w:fldCharType="end"/>
      </w:r>
      <w:r w:rsidRPr="000E1167">
        <w:rPr>
          <w:rFonts w:ascii="Verdana" w:eastAsia="Calibri" w:hAnsi="Verdana"/>
          <w:bCs/>
          <w:sz w:val="20"/>
        </w:rPr>
        <w:t xml:space="preserve"> To understand the learning needs of Canadian healthcare practitioners caring for older adults with cancer, a national needs assessment was conducted by CNAC in early 2019 surveying physicians, nurses, pharmacists, and other allied health</w:t>
      </w:r>
      <w:r w:rsidR="00582A3E">
        <w:rPr>
          <w:rFonts w:ascii="Verdana" w:eastAsia="Calibri" w:hAnsi="Verdana"/>
          <w:bCs/>
          <w:sz w:val="20"/>
        </w:rPr>
        <w:t>care</w:t>
      </w:r>
      <w:r w:rsidRPr="000E1167">
        <w:rPr>
          <w:rFonts w:ascii="Verdana" w:eastAsia="Calibri" w:hAnsi="Verdana"/>
          <w:bCs/>
          <w:sz w:val="20"/>
        </w:rPr>
        <w:t xml:space="preserve"> professionals involved in the care of older adults with cancer.  </w:t>
      </w:r>
    </w:p>
    <w:p w14:paraId="0E01D08B" w14:textId="77777777" w:rsidR="000E1167" w:rsidRPr="000E1167" w:rsidRDefault="000E1167" w:rsidP="000E1167">
      <w:pPr>
        <w:spacing w:line="240" w:lineRule="auto"/>
        <w:jc w:val="both"/>
        <w:rPr>
          <w:rFonts w:ascii="Verdana" w:eastAsia="Calibri" w:hAnsi="Verdana"/>
          <w:bCs/>
          <w:sz w:val="20"/>
        </w:rPr>
      </w:pPr>
      <w:r w:rsidRPr="000E1167">
        <w:rPr>
          <w:rFonts w:ascii="Verdana" w:eastAsia="Calibri" w:hAnsi="Verdana"/>
          <w:bCs/>
          <w:sz w:val="20"/>
        </w:rPr>
        <w:t xml:space="preserve">This needs assessment formed the basis of the First Annual Geriatric Oncology Conference, which was held on November 1, 2019, in Toronto, Canada. This interdisciplinary interactive conference was organized and hosted by CNAC under the auspices of the International Society of Geriatric Oncology (SIOG). </w:t>
      </w:r>
      <w:r w:rsidRPr="000E1167">
        <w:rPr>
          <w:rFonts w:ascii="Verdana" w:eastAsia="Calibri" w:hAnsi="Verdana"/>
          <w:bCs/>
          <w:color w:val="000000" w:themeColor="text1"/>
          <w:sz w:val="20"/>
        </w:rPr>
        <w:t>The meeting was attended by 54 healthcare providers from across Canada (British Columbia to Quebec). They included physicians of various specialties (geriatricians, medical and radiation oncologists, surgeons), nurses, pharmacists, and trainees.</w:t>
      </w:r>
    </w:p>
    <w:p w14:paraId="76AA0D8E" w14:textId="77777777" w:rsidR="000E1167" w:rsidRPr="000E1167" w:rsidRDefault="000E1167" w:rsidP="000E1167">
      <w:pPr>
        <w:spacing w:line="240" w:lineRule="auto"/>
        <w:jc w:val="both"/>
        <w:rPr>
          <w:rFonts w:ascii="Verdana" w:eastAsia="Calibri" w:hAnsi="Verdana"/>
          <w:bCs/>
          <w:sz w:val="20"/>
        </w:rPr>
      </w:pPr>
      <w:r w:rsidRPr="000E1167">
        <w:rPr>
          <w:rFonts w:ascii="Verdana" w:eastAsia="Calibri" w:hAnsi="Verdana"/>
          <w:bCs/>
          <w:sz w:val="20"/>
        </w:rPr>
        <w:t>The overall goals of the meeting were to:</w:t>
      </w:r>
    </w:p>
    <w:p w14:paraId="74D6EF1A" w14:textId="77777777" w:rsidR="000E1167" w:rsidRPr="000E1167" w:rsidRDefault="000E1167" w:rsidP="000E1167">
      <w:pPr>
        <w:pStyle w:val="ListParagraph"/>
        <w:numPr>
          <w:ilvl w:val="0"/>
          <w:numId w:val="4"/>
        </w:numPr>
        <w:spacing w:after="0" w:line="240" w:lineRule="auto"/>
        <w:jc w:val="both"/>
        <w:rPr>
          <w:rFonts w:ascii="Verdana" w:eastAsia="Calibri" w:hAnsi="Verdana"/>
          <w:bCs/>
          <w:sz w:val="20"/>
        </w:rPr>
      </w:pPr>
      <w:r w:rsidRPr="000E1167">
        <w:rPr>
          <w:rFonts w:ascii="Verdana" w:eastAsia="Calibri" w:hAnsi="Verdana"/>
          <w:bCs/>
          <w:sz w:val="20"/>
        </w:rPr>
        <w:t>Develop knowledge and skills in assessing older adults with cancer.</w:t>
      </w:r>
    </w:p>
    <w:p w14:paraId="749FB5A6" w14:textId="77777777" w:rsidR="000E1167" w:rsidRPr="000E1167" w:rsidRDefault="000E1167" w:rsidP="000E1167">
      <w:pPr>
        <w:pStyle w:val="ListParagraph"/>
        <w:numPr>
          <w:ilvl w:val="0"/>
          <w:numId w:val="4"/>
        </w:numPr>
        <w:spacing w:after="0" w:line="240" w:lineRule="auto"/>
        <w:jc w:val="both"/>
        <w:rPr>
          <w:rFonts w:ascii="Verdana" w:eastAsia="Calibri" w:hAnsi="Verdana"/>
          <w:bCs/>
          <w:sz w:val="20"/>
        </w:rPr>
      </w:pPr>
      <w:r w:rsidRPr="000E1167">
        <w:rPr>
          <w:rFonts w:ascii="Verdana" w:eastAsia="Calibri" w:hAnsi="Verdana"/>
          <w:bCs/>
          <w:sz w:val="20"/>
        </w:rPr>
        <w:t>Describe and manage issues unique to the care of older adults with cancer undergoing treatment.</w:t>
      </w:r>
    </w:p>
    <w:p w14:paraId="2E088F3A" w14:textId="77777777" w:rsidR="000E1167" w:rsidRDefault="000E1167" w:rsidP="000E1167">
      <w:pPr>
        <w:pStyle w:val="ListParagraph"/>
        <w:numPr>
          <w:ilvl w:val="0"/>
          <w:numId w:val="4"/>
        </w:numPr>
        <w:spacing w:after="0" w:line="240" w:lineRule="auto"/>
        <w:jc w:val="both"/>
        <w:rPr>
          <w:rFonts w:ascii="Verdana" w:eastAsia="Calibri" w:hAnsi="Verdana"/>
          <w:bCs/>
          <w:sz w:val="20"/>
        </w:rPr>
      </w:pPr>
      <w:r w:rsidRPr="000E1167">
        <w:rPr>
          <w:rFonts w:ascii="Verdana" w:eastAsia="Calibri" w:hAnsi="Verdana"/>
          <w:bCs/>
          <w:sz w:val="20"/>
        </w:rPr>
        <w:t>Identify strategies to implement geriatric principles into clinical practice when caring for older adults with cancer.</w:t>
      </w:r>
    </w:p>
    <w:p w14:paraId="196B6988" w14:textId="77777777" w:rsidR="000E1167" w:rsidRPr="000E1167" w:rsidRDefault="000E1167" w:rsidP="000E1167">
      <w:pPr>
        <w:spacing w:after="0" w:line="240" w:lineRule="auto"/>
        <w:jc w:val="both"/>
        <w:rPr>
          <w:rFonts w:ascii="Verdana" w:eastAsia="Calibri" w:hAnsi="Verdana"/>
          <w:bCs/>
          <w:sz w:val="18"/>
        </w:rPr>
      </w:pPr>
    </w:p>
    <w:p w14:paraId="48BC487E" w14:textId="77777777" w:rsidR="000E1167" w:rsidRPr="000E1167" w:rsidRDefault="000E1167" w:rsidP="000E1167">
      <w:pPr>
        <w:spacing w:line="240" w:lineRule="auto"/>
        <w:jc w:val="both"/>
        <w:rPr>
          <w:rFonts w:ascii="Verdana" w:eastAsia="Calibri" w:hAnsi="Verdana"/>
          <w:b/>
          <w:color w:val="C00000"/>
          <w:sz w:val="20"/>
        </w:rPr>
      </w:pPr>
      <w:r w:rsidRPr="000E1167">
        <w:rPr>
          <w:rFonts w:ascii="Verdana" w:eastAsia="Calibri" w:hAnsi="Verdana"/>
          <w:b/>
          <w:color w:val="C00000"/>
          <w:sz w:val="20"/>
        </w:rPr>
        <w:t>Session Descriptions</w:t>
      </w:r>
    </w:p>
    <w:p w14:paraId="3B8FFD71" w14:textId="1A22A551" w:rsidR="00D73142" w:rsidRDefault="000E1167" w:rsidP="000E1167">
      <w:pPr>
        <w:spacing w:line="240" w:lineRule="auto"/>
        <w:jc w:val="both"/>
        <w:rPr>
          <w:rFonts w:ascii="Verdana" w:eastAsia="Calibri" w:hAnsi="Verdana"/>
          <w:bCs/>
          <w:sz w:val="20"/>
        </w:rPr>
      </w:pPr>
      <w:r w:rsidRPr="000E1167">
        <w:rPr>
          <w:rFonts w:ascii="Verdana" w:eastAsia="Calibri" w:hAnsi="Verdana"/>
          <w:bCs/>
          <w:sz w:val="20"/>
        </w:rPr>
        <w:t>The full-day conference was composed of four large group sessions with a series of smaller interactive workshops (Table 1). The final session consisted of an interdisciplinary panel discussion of two complex cases to highlight and apply learning from the previous sessions. We highlight the objectives and main learning p</w:t>
      </w:r>
      <w:r w:rsidR="00D73142">
        <w:rPr>
          <w:rFonts w:ascii="Verdana" w:eastAsia="Calibri" w:hAnsi="Verdana"/>
          <w:bCs/>
          <w:sz w:val="20"/>
        </w:rPr>
        <w:t>oints from each of the sessions.</w:t>
      </w:r>
    </w:p>
    <w:p w14:paraId="3E2CCF65" w14:textId="77777777" w:rsidR="00D73142" w:rsidRDefault="00D73142" w:rsidP="000E1167">
      <w:pPr>
        <w:spacing w:line="240" w:lineRule="auto"/>
        <w:jc w:val="both"/>
        <w:rPr>
          <w:rFonts w:ascii="Verdana" w:eastAsia="Calibri" w:hAnsi="Verdana"/>
          <w:bCs/>
          <w:sz w:val="20"/>
        </w:rPr>
      </w:pPr>
    </w:p>
    <w:p w14:paraId="581D2DA8" w14:textId="77777777" w:rsidR="00D73142" w:rsidRDefault="00D73142" w:rsidP="000E1167">
      <w:pPr>
        <w:spacing w:line="240" w:lineRule="auto"/>
        <w:jc w:val="both"/>
        <w:rPr>
          <w:rFonts w:ascii="Verdana" w:eastAsia="Calibri" w:hAnsi="Verdana"/>
          <w:bCs/>
          <w:sz w:val="20"/>
        </w:rPr>
      </w:pPr>
    </w:p>
    <w:p w14:paraId="726D694F" w14:textId="77777777" w:rsidR="00D73142" w:rsidRDefault="00D73142" w:rsidP="000E1167">
      <w:pPr>
        <w:spacing w:line="240" w:lineRule="auto"/>
        <w:jc w:val="both"/>
        <w:rPr>
          <w:rFonts w:ascii="Verdana" w:eastAsia="Calibri" w:hAnsi="Verdana"/>
          <w:bCs/>
          <w:sz w:val="20"/>
        </w:rPr>
      </w:pPr>
    </w:p>
    <w:p w14:paraId="6A6DEF63" w14:textId="77777777" w:rsidR="00D73142" w:rsidRDefault="00D73142" w:rsidP="000E1167">
      <w:pPr>
        <w:spacing w:line="240" w:lineRule="auto"/>
        <w:jc w:val="both"/>
        <w:rPr>
          <w:rFonts w:ascii="Verdana" w:eastAsia="Calibri" w:hAnsi="Verdana"/>
          <w:bCs/>
          <w:sz w:val="20"/>
        </w:rPr>
      </w:pPr>
    </w:p>
    <w:p w14:paraId="16859431" w14:textId="77777777" w:rsidR="00D73142" w:rsidRDefault="00D73142" w:rsidP="000E1167">
      <w:pPr>
        <w:spacing w:line="240" w:lineRule="auto"/>
        <w:jc w:val="both"/>
        <w:rPr>
          <w:rFonts w:ascii="Verdana" w:eastAsia="Calibri" w:hAnsi="Verdana"/>
          <w:bCs/>
          <w:sz w:val="20"/>
        </w:rPr>
      </w:pPr>
    </w:p>
    <w:p w14:paraId="1D92CC82" w14:textId="77777777" w:rsidR="00D73142" w:rsidRDefault="00D73142" w:rsidP="000E1167">
      <w:pPr>
        <w:spacing w:line="240" w:lineRule="auto"/>
        <w:jc w:val="both"/>
        <w:rPr>
          <w:rFonts w:ascii="Verdana" w:eastAsia="Calibri" w:hAnsi="Verdana"/>
          <w:bCs/>
          <w:sz w:val="20"/>
        </w:rPr>
      </w:pPr>
    </w:p>
    <w:p w14:paraId="36801F2C" w14:textId="538136B9" w:rsidR="00FC57D8" w:rsidRPr="00FC57D8" w:rsidRDefault="00FC57D8" w:rsidP="000E1167">
      <w:pPr>
        <w:spacing w:line="240" w:lineRule="auto"/>
        <w:jc w:val="both"/>
        <w:rPr>
          <w:rFonts w:ascii="Verdana" w:eastAsia="Calibri" w:hAnsi="Verdana"/>
          <w:bCs/>
          <w:sz w:val="20"/>
        </w:rPr>
      </w:pPr>
      <w:r>
        <w:rPr>
          <w:rFonts w:ascii="Verdana" w:eastAsia="Calibri" w:hAnsi="Verdana"/>
          <w:b/>
          <w:bCs/>
          <w:sz w:val="20"/>
        </w:rPr>
        <w:lastRenderedPageBreak/>
        <w:t>Table 1.</w:t>
      </w:r>
    </w:p>
    <w:tbl>
      <w:tblPr>
        <w:tblStyle w:val="TableGrid"/>
        <w:tblW w:w="12981" w:type="dxa"/>
        <w:tblInd w:w="-2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7"/>
        <w:gridCol w:w="2835"/>
        <w:gridCol w:w="1701"/>
        <w:gridCol w:w="1984"/>
        <w:gridCol w:w="5184"/>
      </w:tblGrid>
      <w:tr w:rsidR="00FC57D8" w:rsidRPr="002E51B2" w14:paraId="3E2E1914" w14:textId="77777777" w:rsidTr="002E51B2">
        <w:trPr>
          <w:trHeight w:val="236"/>
        </w:trPr>
        <w:tc>
          <w:tcPr>
            <w:tcW w:w="1277" w:type="dxa"/>
            <w:tcBorders>
              <w:top w:val="single" w:sz="12" w:space="0" w:color="auto"/>
              <w:bottom w:val="single" w:sz="12" w:space="0" w:color="auto"/>
              <w:right w:val="nil"/>
            </w:tcBorders>
            <w:vAlign w:val="bottom"/>
          </w:tcPr>
          <w:p w14:paraId="09EC68AB" w14:textId="77777777" w:rsidR="00D73142" w:rsidRPr="002E51B2" w:rsidRDefault="00D73142" w:rsidP="00D81968">
            <w:pPr>
              <w:rPr>
                <w:rFonts w:ascii="Verdana" w:hAnsi="Verdana"/>
                <w:b/>
                <w:sz w:val="18"/>
                <w:szCs w:val="20"/>
              </w:rPr>
            </w:pPr>
            <w:r w:rsidRPr="002E51B2">
              <w:rPr>
                <w:rFonts w:ascii="Verdana" w:hAnsi="Verdana"/>
                <w:b/>
                <w:sz w:val="18"/>
                <w:szCs w:val="20"/>
              </w:rPr>
              <w:t>Time</w:t>
            </w:r>
          </w:p>
        </w:tc>
        <w:tc>
          <w:tcPr>
            <w:tcW w:w="2835" w:type="dxa"/>
            <w:tcBorders>
              <w:top w:val="single" w:sz="12" w:space="0" w:color="auto"/>
              <w:left w:val="nil"/>
              <w:bottom w:val="single" w:sz="12" w:space="0" w:color="auto"/>
            </w:tcBorders>
            <w:vAlign w:val="bottom"/>
          </w:tcPr>
          <w:p w14:paraId="4D78287C" w14:textId="77777777" w:rsidR="00D73142" w:rsidRPr="002E51B2" w:rsidRDefault="00D73142" w:rsidP="00D81968">
            <w:pPr>
              <w:rPr>
                <w:rFonts w:ascii="Verdana" w:hAnsi="Verdana"/>
                <w:sz w:val="18"/>
                <w:szCs w:val="20"/>
              </w:rPr>
            </w:pPr>
            <w:r w:rsidRPr="002E51B2">
              <w:rPr>
                <w:rFonts w:ascii="Verdana" w:hAnsi="Verdana"/>
                <w:b/>
                <w:sz w:val="18"/>
                <w:szCs w:val="20"/>
              </w:rPr>
              <w:t>Session</w:t>
            </w:r>
          </w:p>
        </w:tc>
        <w:tc>
          <w:tcPr>
            <w:tcW w:w="1701" w:type="dxa"/>
            <w:tcBorders>
              <w:top w:val="single" w:sz="12" w:space="0" w:color="auto"/>
              <w:left w:val="nil"/>
              <w:bottom w:val="single" w:sz="12" w:space="0" w:color="auto"/>
            </w:tcBorders>
            <w:vAlign w:val="bottom"/>
          </w:tcPr>
          <w:p w14:paraId="15B5F803" w14:textId="77777777" w:rsidR="00D73142" w:rsidRPr="002E51B2" w:rsidRDefault="00D73142" w:rsidP="00D81968">
            <w:pPr>
              <w:rPr>
                <w:rFonts w:ascii="Verdana" w:hAnsi="Verdana"/>
                <w:b/>
                <w:sz w:val="18"/>
                <w:szCs w:val="20"/>
              </w:rPr>
            </w:pPr>
            <w:r w:rsidRPr="002E51B2">
              <w:rPr>
                <w:rFonts w:ascii="Verdana" w:hAnsi="Verdana"/>
                <w:b/>
                <w:sz w:val="18"/>
                <w:szCs w:val="20"/>
              </w:rPr>
              <w:t>Speaker</w:t>
            </w:r>
          </w:p>
        </w:tc>
        <w:tc>
          <w:tcPr>
            <w:tcW w:w="1984" w:type="dxa"/>
            <w:tcBorders>
              <w:top w:val="single" w:sz="12" w:space="0" w:color="auto"/>
              <w:left w:val="nil"/>
              <w:bottom w:val="single" w:sz="12" w:space="0" w:color="auto"/>
            </w:tcBorders>
            <w:vAlign w:val="bottom"/>
          </w:tcPr>
          <w:p w14:paraId="00F85233" w14:textId="77777777" w:rsidR="00D73142" w:rsidRPr="002E51B2" w:rsidRDefault="00D73142" w:rsidP="00D81968">
            <w:pPr>
              <w:rPr>
                <w:rFonts w:ascii="Verdana" w:hAnsi="Verdana"/>
                <w:b/>
                <w:sz w:val="18"/>
                <w:szCs w:val="20"/>
              </w:rPr>
            </w:pPr>
            <w:r w:rsidRPr="002E51B2">
              <w:rPr>
                <w:rFonts w:ascii="Verdana" w:hAnsi="Verdana"/>
                <w:b/>
                <w:sz w:val="18"/>
                <w:szCs w:val="20"/>
              </w:rPr>
              <w:t>Discipline</w:t>
            </w:r>
          </w:p>
        </w:tc>
        <w:tc>
          <w:tcPr>
            <w:tcW w:w="5184" w:type="dxa"/>
            <w:tcBorders>
              <w:top w:val="single" w:sz="12" w:space="0" w:color="auto"/>
              <w:left w:val="nil"/>
              <w:bottom w:val="single" w:sz="12" w:space="0" w:color="auto"/>
            </w:tcBorders>
            <w:vAlign w:val="bottom"/>
          </w:tcPr>
          <w:p w14:paraId="51763077" w14:textId="77777777" w:rsidR="00D73142" w:rsidRPr="002E51B2" w:rsidRDefault="00D73142" w:rsidP="00D81968">
            <w:pPr>
              <w:rPr>
                <w:rFonts w:ascii="Verdana" w:hAnsi="Verdana"/>
                <w:b/>
                <w:sz w:val="18"/>
                <w:szCs w:val="20"/>
              </w:rPr>
            </w:pPr>
            <w:r w:rsidRPr="002E51B2">
              <w:rPr>
                <w:rFonts w:ascii="Verdana" w:hAnsi="Verdana"/>
                <w:b/>
                <w:sz w:val="18"/>
                <w:szCs w:val="20"/>
              </w:rPr>
              <w:t>Speaker Affiliation</w:t>
            </w:r>
          </w:p>
        </w:tc>
      </w:tr>
      <w:tr w:rsidR="00FC57D8" w:rsidRPr="002E51B2" w14:paraId="028EA169" w14:textId="77777777" w:rsidTr="002E51B2">
        <w:trPr>
          <w:trHeight w:val="291"/>
        </w:trPr>
        <w:tc>
          <w:tcPr>
            <w:tcW w:w="1277" w:type="dxa"/>
            <w:tcBorders>
              <w:top w:val="single" w:sz="12" w:space="0" w:color="auto"/>
              <w:bottom w:val="single" w:sz="12" w:space="0" w:color="auto"/>
            </w:tcBorders>
            <w:shd w:val="clear" w:color="auto" w:fill="F2F2F2" w:themeFill="background1" w:themeFillShade="F2"/>
            <w:vAlign w:val="center"/>
          </w:tcPr>
          <w:p w14:paraId="0984DD06" w14:textId="77777777" w:rsidR="00D73142" w:rsidRPr="002E51B2" w:rsidRDefault="00D73142" w:rsidP="00D81968">
            <w:pPr>
              <w:rPr>
                <w:rFonts w:ascii="Verdana" w:hAnsi="Verdana"/>
                <w:sz w:val="18"/>
                <w:szCs w:val="20"/>
              </w:rPr>
            </w:pPr>
            <w:r w:rsidRPr="002E51B2">
              <w:rPr>
                <w:rFonts w:ascii="Verdana" w:hAnsi="Verdana"/>
                <w:sz w:val="18"/>
                <w:szCs w:val="20"/>
              </w:rPr>
              <w:t>08:00-08:30</w:t>
            </w:r>
          </w:p>
        </w:tc>
        <w:tc>
          <w:tcPr>
            <w:tcW w:w="2835" w:type="dxa"/>
            <w:tcBorders>
              <w:top w:val="single" w:sz="12" w:space="0" w:color="auto"/>
              <w:bottom w:val="single" w:sz="12" w:space="0" w:color="auto"/>
            </w:tcBorders>
            <w:shd w:val="clear" w:color="auto" w:fill="F2F2F2" w:themeFill="background1" w:themeFillShade="F2"/>
            <w:vAlign w:val="center"/>
          </w:tcPr>
          <w:p w14:paraId="491FF0F7" w14:textId="77777777" w:rsidR="00D73142" w:rsidRPr="002E51B2" w:rsidRDefault="00D73142" w:rsidP="00D81968">
            <w:pPr>
              <w:rPr>
                <w:rFonts w:ascii="Verdana" w:hAnsi="Verdana"/>
                <w:color w:val="7F7F7F" w:themeColor="text1" w:themeTint="80"/>
                <w:sz w:val="18"/>
                <w:szCs w:val="20"/>
              </w:rPr>
            </w:pPr>
            <w:r w:rsidRPr="002E51B2">
              <w:rPr>
                <w:rFonts w:ascii="Verdana" w:hAnsi="Verdana"/>
                <w:color w:val="000000" w:themeColor="text1"/>
                <w:sz w:val="18"/>
                <w:szCs w:val="20"/>
              </w:rPr>
              <w:t>Breakfast and Networking</w:t>
            </w:r>
          </w:p>
        </w:tc>
        <w:tc>
          <w:tcPr>
            <w:tcW w:w="1701" w:type="dxa"/>
            <w:tcBorders>
              <w:top w:val="single" w:sz="12" w:space="0" w:color="auto"/>
              <w:bottom w:val="single" w:sz="12" w:space="0" w:color="auto"/>
            </w:tcBorders>
            <w:shd w:val="clear" w:color="auto" w:fill="F2F2F2" w:themeFill="background1" w:themeFillShade="F2"/>
            <w:vAlign w:val="center"/>
          </w:tcPr>
          <w:p w14:paraId="696C2000" w14:textId="77777777" w:rsidR="00D73142" w:rsidRPr="002E51B2" w:rsidRDefault="00D73142" w:rsidP="00D81968">
            <w:pPr>
              <w:rPr>
                <w:rFonts w:ascii="Verdana" w:hAnsi="Verdana"/>
                <w:color w:val="000000" w:themeColor="text1"/>
                <w:sz w:val="18"/>
                <w:szCs w:val="20"/>
              </w:rPr>
            </w:pPr>
          </w:p>
        </w:tc>
        <w:tc>
          <w:tcPr>
            <w:tcW w:w="1984" w:type="dxa"/>
            <w:tcBorders>
              <w:top w:val="single" w:sz="12" w:space="0" w:color="auto"/>
              <w:bottom w:val="single" w:sz="12" w:space="0" w:color="auto"/>
            </w:tcBorders>
            <w:shd w:val="clear" w:color="auto" w:fill="F2F2F2" w:themeFill="background1" w:themeFillShade="F2"/>
            <w:vAlign w:val="center"/>
          </w:tcPr>
          <w:p w14:paraId="74148BE5" w14:textId="77777777" w:rsidR="00D73142" w:rsidRPr="002E51B2" w:rsidRDefault="00D73142" w:rsidP="00D81968">
            <w:pPr>
              <w:rPr>
                <w:rFonts w:ascii="Verdana" w:hAnsi="Verdana"/>
                <w:color w:val="000000" w:themeColor="text1"/>
                <w:sz w:val="18"/>
                <w:szCs w:val="20"/>
              </w:rPr>
            </w:pPr>
          </w:p>
        </w:tc>
        <w:tc>
          <w:tcPr>
            <w:tcW w:w="5184" w:type="dxa"/>
            <w:tcBorders>
              <w:top w:val="single" w:sz="12" w:space="0" w:color="auto"/>
              <w:bottom w:val="single" w:sz="12" w:space="0" w:color="auto"/>
            </w:tcBorders>
            <w:shd w:val="clear" w:color="auto" w:fill="F2F2F2" w:themeFill="background1" w:themeFillShade="F2"/>
            <w:vAlign w:val="center"/>
          </w:tcPr>
          <w:p w14:paraId="5347BF9C" w14:textId="77777777" w:rsidR="00D73142" w:rsidRPr="002E51B2" w:rsidRDefault="00D73142" w:rsidP="00D81968">
            <w:pPr>
              <w:rPr>
                <w:rFonts w:ascii="Verdana" w:hAnsi="Verdana"/>
                <w:color w:val="000000" w:themeColor="text1"/>
                <w:sz w:val="18"/>
                <w:szCs w:val="20"/>
              </w:rPr>
            </w:pPr>
          </w:p>
        </w:tc>
      </w:tr>
      <w:tr w:rsidR="00FC57D8" w:rsidRPr="002E51B2" w14:paraId="798AD00F" w14:textId="77777777" w:rsidTr="002E51B2">
        <w:trPr>
          <w:trHeight w:val="291"/>
        </w:trPr>
        <w:tc>
          <w:tcPr>
            <w:tcW w:w="1277" w:type="dxa"/>
            <w:tcBorders>
              <w:top w:val="single" w:sz="12" w:space="0" w:color="auto"/>
              <w:bottom w:val="single" w:sz="12" w:space="0" w:color="auto"/>
            </w:tcBorders>
            <w:shd w:val="clear" w:color="auto" w:fill="F2F2F2" w:themeFill="background1" w:themeFillShade="F2"/>
            <w:vAlign w:val="center"/>
          </w:tcPr>
          <w:p w14:paraId="34D2F58A" w14:textId="77777777" w:rsidR="00D73142" w:rsidRPr="002E51B2" w:rsidRDefault="00D73142" w:rsidP="00D81968">
            <w:pPr>
              <w:rPr>
                <w:rFonts w:ascii="Verdana" w:hAnsi="Verdana"/>
                <w:sz w:val="18"/>
                <w:szCs w:val="20"/>
              </w:rPr>
            </w:pPr>
            <w:r w:rsidRPr="002E51B2">
              <w:rPr>
                <w:rFonts w:ascii="Verdana" w:hAnsi="Verdana"/>
                <w:sz w:val="18"/>
                <w:szCs w:val="20"/>
              </w:rPr>
              <w:t>08:30-08:45</w:t>
            </w:r>
          </w:p>
        </w:tc>
        <w:tc>
          <w:tcPr>
            <w:tcW w:w="2835" w:type="dxa"/>
            <w:tcBorders>
              <w:top w:val="single" w:sz="12" w:space="0" w:color="auto"/>
              <w:bottom w:val="single" w:sz="12" w:space="0" w:color="auto"/>
            </w:tcBorders>
            <w:shd w:val="clear" w:color="auto" w:fill="F2F2F2" w:themeFill="background1" w:themeFillShade="F2"/>
            <w:vAlign w:val="center"/>
          </w:tcPr>
          <w:p w14:paraId="1C22720C"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Welcome and Introduction</w:t>
            </w:r>
          </w:p>
        </w:tc>
        <w:tc>
          <w:tcPr>
            <w:tcW w:w="1701" w:type="dxa"/>
            <w:tcBorders>
              <w:top w:val="single" w:sz="12" w:space="0" w:color="auto"/>
              <w:bottom w:val="single" w:sz="12" w:space="0" w:color="auto"/>
            </w:tcBorders>
            <w:shd w:val="clear" w:color="auto" w:fill="F2F2F2" w:themeFill="background1" w:themeFillShade="F2"/>
            <w:vAlign w:val="center"/>
          </w:tcPr>
          <w:p w14:paraId="707E08B4" w14:textId="77777777" w:rsidR="00D73142" w:rsidRPr="002E51B2" w:rsidRDefault="00D73142" w:rsidP="00D81968">
            <w:pPr>
              <w:rPr>
                <w:rFonts w:ascii="Verdana" w:hAnsi="Verdana"/>
                <w:color w:val="000000" w:themeColor="text1"/>
                <w:sz w:val="18"/>
                <w:szCs w:val="20"/>
              </w:rPr>
            </w:pPr>
          </w:p>
        </w:tc>
        <w:tc>
          <w:tcPr>
            <w:tcW w:w="1984" w:type="dxa"/>
            <w:tcBorders>
              <w:top w:val="single" w:sz="12" w:space="0" w:color="auto"/>
              <w:bottom w:val="single" w:sz="12" w:space="0" w:color="auto"/>
            </w:tcBorders>
            <w:shd w:val="clear" w:color="auto" w:fill="F2F2F2" w:themeFill="background1" w:themeFillShade="F2"/>
            <w:vAlign w:val="center"/>
          </w:tcPr>
          <w:p w14:paraId="2E20D322" w14:textId="77777777" w:rsidR="00D73142" w:rsidRPr="002E51B2" w:rsidRDefault="00D73142" w:rsidP="00D81968">
            <w:pPr>
              <w:rPr>
                <w:rFonts w:ascii="Verdana" w:hAnsi="Verdana"/>
                <w:color w:val="000000" w:themeColor="text1"/>
                <w:sz w:val="18"/>
                <w:szCs w:val="20"/>
              </w:rPr>
            </w:pPr>
          </w:p>
        </w:tc>
        <w:tc>
          <w:tcPr>
            <w:tcW w:w="5184" w:type="dxa"/>
            <w:tcBorders>
              <w:top w:val="single" w:sz="12" w:space="0" w:color="auto"/>
              <w:bottom w:val="single" w:sz="12" w:space="0" w:color="auto"/>
            </w:tcBorders>
            <w:shd w:val="clear" w:color="auto" w:fill="F2F2F2" w:themeFill="background1" w:themeFillShade="F2"/>
            <w:vAlign w:val="center"/>
          </w:tcPr>
          <w:p w14:paraId="3C508F00" w14:textId="77777777" w:rsidR="00D73142" w:rsidRPr="002E51B2" w:rsidRDefault="00D73142" w:rsidP="00D81968">
            <w:pPr>
              <w:rPr>
                <w:rFonts w:ascii="Verdana" w:hAnsi="Verdana"/>
                <w:color w:val="000000" w:themeColor="text1"/>
                <w:sz w:val="18"/>
                <w:szCs w:val="20"/>
              </w:rPr>
            </w:pPr>
          </w:p>
        </w:tc>
      </w:tr>
      <w:tr w:rsidR="00FC57D8" w:rsidRPr="002E51B2" w14:paraId="439FD767" w14:textId="77777777" w:rsidTr="002E51B2">
        <w:trPr>
          <w:trHeight w:val="291"/>
        </w:trPr>
        <w:tc>
          <w:tcPr>
            <w:tcW w:w="1277" w:type="dxa"/>
            <w:tcBorders>
              <w:top w:val="single" w:sz="12" w:space="0" w:color="auto"/>
              <w:bottom w:val="single" w:sz="12" w:space="0" w:color="auto"/>
            </w:tcBorders>
            <w:vAlign w:val="center"/>
          </w:tcPr>
          <w:p w14:paraId="5D5CC037" w14:textId="77777777" w:rsidR="00D73142" w:rsidRPr="002E51B2" w:rsidRDefault="00D73142" w:rsidP="00D81968">
            <w:pPr>
              <w:rPr>
                <w:rFonts w:ascii="Verdana" w:hAnsi="Verdana"/>
                <w:sz w:val="18"/>
                <w:szCs w:val="20"/>
              </w:rPr>
            </w:pPr>
            <w:r w:rsidRPr="002E51B2">
              <w:rPr>
                <w:rFonts w:ascii="Verdana" w:hAnsi="Verdana"/>
                <w:sz w:val="18"/>
                <w:szCs w:val="20"/>
              </w:rPr>
              <w:t>08:45-09:30</w:t>
            </w:r>
          </w:p>
        </w:tc>
        <w:tc>
          <w:tcPr>
            <w:tcW w:w="2835" w:type="dxa"/>
            <w:tcBorders>
              <w:top w:val="single" w:sz="12" w:space="0" w:color="auto"/>
              <w:bottom w:val="single" w:sz="12" w:space="0" w:color="auto"/>
            </w:tcBorders>
            <w:vAlign w:val="center"/>
          </w:tcPr>
          <w:p w14:paraId="4A46E60E" w14:textId="77777777" w:rsidR="00D73142" w:rsidRPr="002E51B2" w:rsidRDefault="00D73142" w:rsidP="00D81968">
            <w:pPr>
              <w:rPr>
                <w:rFonts w:ascii="Verdana" w:hAnsi="Verdana"/>
                <w:bCs/>
                <w:color w:val="000000" w:themeColor="text1"/>
                <w:sz w:val="18"/>
                <w:szCs w:val="20"/>
                <w:lang w:val="en"/>
              </w:rPr>
            </w:pPr>
            <w:r w:rsidRPr="002E51B2">
              <w:rPr>
                <w:rFonts w:ascii="Verdana" w:hAnsi="Verdana"/>
                <w:bCs/>
                <w:color w:val="000000" w:themeColor="text1"/>
                <w:sz w:val="18"/>
                <w:szCs w:val="20"/>
              </w:rPr>
              <w:t>Geriatric Oncology – It’s not just about the cancer</w:t>
            </w:r>
          </w:p>
        </w:tc>
        <w:tc>
          <w:tcPr>
            <w:tcW w:w="1701" w:type="dxa"/>
            <w:tcBorders>
              <w:top w:val="single" w:sz="12" w:space="0" w:color="auto"/>
              <w:bottom w:val="single" w:sz="12" w:space="0" w:color="auto"/>
            </w:tcBorders>
            <w:vAlign w:val="center"/>
          </w:tcPr>
          <w:p w14:paraId="1CF48C64"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Camilla Wong</w:t>
            </w:r>
          </w:p>
        </w:tc>
        <w:tc>
          <w:tcPr>
            <w:tcW w:w="1984" w:type="dxa"/>
            <w:tcBorders>
              <w:top w:val="single" w:sz="12" w:space="0" w:color="auto"/>
              <w:bottom w:val="single" w:sz="12" w:space="0" w:color="auto"/>
            </w:tcBorders>
            <w:vAlign w:val="center"/>
          </w:tcPr>
          <w:p w14:paraId="6CBAA1FB"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Geriatrics</w:t>
            </w:r>
          </w:p>
        </w:tc>
        <w:tc>
          <w:tcPr>
            <w:tcW w:w="5184" w:type="dxa"/>
            <w:tcBorders>
              <w:top w:val="single" w:sz="12" w:space="0" w:color="auto"/>
              <w:bottom w:val="single" w:sz="12" w:space="0" w:color="auto"/>
            </w:tcBorders>
            <w:vAlign w:val="center"/>
          </w:tcPr>
          <w:p w14:paraId="4EE5093A"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St. Michael’s Hospital, University of Toronto</w:t>
            </w:r>
          </w:p>
        </w:tc>
      </w:tr>
      <w:tr w:rsidR="00FC57D8" w:rsidRPr="002E51B2" w14:paraId="6383B572" w14:textId="77777777" w:rsidTr="002E51B2">
        <w:trPr>
          <w:trHeight w:val="291"/>
        </w:trPr>
        <w:tc>
          <w:tcPr>
            <w:tcW w:w="1277" w:type="dxa"/>
            <w:tcBorders>
              <w:top w:val="single" w:sz="12" w:space="0" w:color="auto"/>
              <w:bottom w:val="single" w:sz="12" w:space="0" w:color="auto"/>
            </w:tcBorders>
            <w:vAlign w:val="center"/>
          </w:tcPr>
          <w:p w14:paraId="66176262" w14:textId="77777777" w:rsidR="00D73142" w:rsidRPr="002E51B2" w:rsidRDefault="00D73142" w:rsidP="00D81968">
            <w:pPr>
              <w:rPr>
                <w:rFonts w:ascii="Verdana" w:hAnsi="Verdana"/>
                <w:sz w:val="18"/>
                <w:szCs w:val="20"/>
              </w:rPr>
            </w:pPr>
            <w:r w:rsidRPr="002E51B2">
              <w:rPr>
                <w:rFonts w:ascii="Verdana" w:hAnsi="Verdana"/>
                <w:sz w:val="18"/>
                <w:szCs w:val="20"/>
              </w:rPr>
              <w:t>09:30-10:15</w:t>
            </w:r>
          </w:p>
        </w:tc>
        <w:tc>
          <w:tcPr>
            <w:tcW w:w="2835" w:type="dxa"/>
            <w:tcBorders>
              <w:top w:val="single" w:sz="12" w:space="0" w:color="auto"/>
              <w:bottom w:val="single" w:sz="12" w:space="0" w:color="auto"/>
            </w:tcBorders>
            <w:vAlign w:val="center"/>
          </w:tcPr>
          <w:p w14:paraId="2A262CE2" w14:textId="77777777" w:rsidR="00D73142" w:rsidRPr="002E51B2" w:rsidRDefault="00D73142" w:rsidP="00D81968">
            <w:pPr>
              <w:rPr>
                <w:rFonts w:ascii="Verdana" w:hAnsi="Verdana"/>
                <w:color w:val="000000" w:themeColor="text1"/>
                <w:sz w:val="18"/>
                <w:szCs w:val="20"/>
                <w:lang w:val="en"/>
              </w:rPr>
            </w:pPr>
            <w:r w:rsidRPr="002E51B2">
              <w:rPr>
                <w:rFonts w:ascii="Verdana" w:hAnsi="Verdana"/>
                <w:color w:val="000000" w:themeColor="text1"/>
                <w:sz w:val="18"/>
                <w:szCs w:val="20"/>
                <w:lang w:val="en"/>
              </w:rPr>
              <w:t>What is a geriatric assessment and how to do it</w:t>
            </w:r>
          </w:p>
        </w:tc>
        <w:tc>
          <w:tcPr>
            <w:tcW w:w="1701" w:type="dxa"/>
            <w:tcBorders>
              <w:top w:val="single" w:sz="12" w:space="0" w:color="auto"/>
              <w:bottom w:val="single" w:sz="12" w:space="0" w:color="auto"/>
            </w:tcBorders>
            <w:vAlign w:val="center"/>
          </w:tcPr>
          <w:p w14:paraId="1594A76E"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Shabbir Alibhai</w:t>
            </w:r>
          </w:p>
        </w:tc>
        <w:tc>
          <w:tcPr>
            <w:tcW w:w="1984" w:type="dxa"/>
            <w:tcBorders>
              <w:top w:val="single" w:sz="12" w:space="0" w:color="auto"/>
              <w:bottom w:val="single" w:sz="12" w:space="0" w:color="auto"/>
            </w:tcBorders>
            <w:vAlign w:val="center"/>
          </w:tcPr>
          <w:p w14:paraId="02E7EBD3"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Geriatrics</w:t>
            </w:r>
          </w:p>
        </w:tc>
        <w:tc>
          <w:tcPr>
            <w:tcW w:w="5184" w:type="dxa"/>
            <w:tcBorders>
              <w:top w:val="single" w:sz="12" w:space="0" w:color="auto"/>
              <w:bottom w:val="single" w:sz="12" w:space="0" w:color="auto"/>
            </w:tcBorders>
            <w:vAlign w:val="center"/>
          </w:tcPr>
          <w:p w14:paraId="164EAE5C" w14:textId="2588AFCC"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University Health Network, </w:t>
            </w:r>
            <w:r w:rsidR="002E51B2">
              <w:rPr>
                <w:rFonts w:ascii="Verdana" w:hAnsi="Verdana"/>
                <w:color w:val="000000" w:themeColor="text1"/>
                <w:sz w:val="18"/>
                <w:szCs w:val="20"/>
              </w:rPr>
              <w:br/>
            </w:r>
            <w:r w:rsidRPr="002E51B2">
              <w:rPr>
                <w:rFonts w:ascii="Verdana" w:hAnsi="Verdana"/>
                <w:color w:val="000000" w:themeColor="text1"/>
                <w:sz w:val="18"/>
                <w:szCs w:val="20"/>
              </w:rPr>
              <w:t>University of Toronto</w:t>
            </w:r>
          </w:p>
        </w:tc>
      </w:tr>
      <w:tr w:rsidR="00FC57D8" w:rsidRPr="002E51B2" w14:paraId="49EC223C" w14:textId="77777777" w:rsidTr="002E51B2">
        <w:trPr>
          <w:trHeight w:val="465"/>
        </w:trPr>
        <w:tc>
          <w:tcPr>
            <w:tcW w:w="1277" w:type="dxa"/>
            <w:tcBorders>
              <w:top w:val="single" w:sz="12" w:space="0" w:color="auto"/>
              <w:bottom w:val="single" w:sz="12" w:space="0" w:color="auto"/>
            </w:tcBorders>
            <w:shd w:val="clear" w:color="auto" w:fill="F2F2F2" w:themeFill="background1" w:themeFillShade="F2"/>
            <w:vAlign w:val="center"/>
          </w:tcPr>
          <w:p w14:paraId="4ED4C5D5" w14:textId="77777777" w:rsidR="00D73142" w:rsidRPr="002E51B2" w:rsidRDefault="00D73142" w:rsidP="00D81968">
            <w:pPr>
              <w:rPr>
                <w:rFonts w:ascii="Verdana" w:hAnsi="Verdana"/>
                <w:sz w:val="18"/>
                <w:szCs w:val="20"/>
              </w:rPr>
            </w:pPr>
            <w:r w:rsidRPr="002E51B2">
              <w:rPr>
                <w:rFonts w:ascii="Verdana" w:hAnsi="Verdana"/>
                <w:sz w:val="18"/>
                <w:szCs w:val="20"/>
              </w:rPr>
              <w:t>10:15-10:30</w:t>
            </w:r>
          </w:p>
        </w:tc>
        <w:tc>
          <w:tcPr>
            <w:tcW w:w="2835" w:type="dxa"/>
            <w:tcBorders>
              <w:top w:val="single" w:sz="12" w:space="0" w:color="auto"/>
              <w:bottom w:val="single" w:sz="12" w:space="0" w:color="auto"/>
            </w:tcBorders>
            <w:shd w:val="clear" w:color="auto" w:fill="F2F2F2" w:themeFill="background1" w:themeFillShade="F2"/>
            <w:vAlign w:val="center"/>
          </w:tcPr>
          <w:p w14:paraId="53B65A0A"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Break</w:t>
            </w:r>
          </w:p>
        </w:tc>
        <w:tc>
          <w:tcPr>
            <w:tcW w:w="1701" w:type="dxa"/>
            <w:tcBorders>
              <w:top w:val="single" w:sz="12" w:space="0" w:color="auto"/>
              <w:bottom w:val="single" w:sz="12" w:space="0" w:color="auto"/>
            </w:tcBorders>
            <w:shd w:val="clear" w:color="auto" w:fill="F2F2F2" w:themeFill="background1" w:themeFillShade="F2"/>
            <w:vAlign w:val="center"/>
          </w:tcPr>
          <w:p w14:paraId="15A90D6C" w14:textId="77777777" w:rsidR="00D73142" w:rsidRPr="002E51B2" w:rsidRDefault="00D73142" w:rsidP="00D81968">
            <w:pPr>
              <w:ind w:left="221" w:hanging="221"/>
              <w:rPr>
                <w:rFonts w:ascii="Verdana" w:hAnsi="Verdana"/>
                <w:color w:val="000000" w:themeColor="text1"/>
                <w:sz w:val="18"/>
                <w:szCs w:val="20"/>
              </w:rPr>
            </w:pPr>
          </w:p>
        </w:tc>
        <w:tc>
          <w:tcPr>
            <w:tcW w:w="1984" w:type="dxa"/>
            <w:tcBorders>
              <w:top w:val="single" w:sz="12" w:space="0" w:color="auto"/>
              <w:bottom w:val="single" w:sz="12" w:space="0" w:color="auto"/>
            </w:tcBorders>
            <w:shd w:val="clear" w:color="auto" w:fill="F2F2F2" w:themeFill="background1" w:themeFillShade="F2"/>
            <w:vAlign w:val="center"/>
          </w:tcPr>
          <w:p w14:paraId="1174AF45" w14:textId="77777777" w:rsidR="00D73142" w:rsidRPr="002E51B2" w:rsidRDefault="00D73142" w:rsidP="00D81968">
            <w:pPr>
              <w:rPr>
                <w:rFonts w:ascii="Verdana" w:hAnsi="Verdana"/>
                <w:color w:val="000000" w:themeColor="text1"/>
                <w:sz w:val="18"/>
                <w:szCs w:val="20"/>
              </w:rPr>
            </w:pPr>
          </w:p>
        </w:tc>
        <w:tc>
          <w:tcPr>
            <w:tcW w:w="5184" w:type="dxa"/>
            <w:tcBorders>
              <w:top w:val="single" w:sz="12" w:space="0" w:color="auto"/>
              <w:bottom w:val="single" w:sz="12" w:space="0" w:color="auto"/>
            </w:tcBorders>
            <w:shd w:val="clear" w:color="auto" w:fill="F2F2F2" w:themeFill="background1" w:themeFillShade="F2"/>
            <w:vAlign w:val="center"/>
          </w:tcPr>
          <w:p w14:paraId="4474A509" w14:textId="77777777" w:rsidR="00D73142" w:rsidRPr="002E51B2" w:rsidRDefault="00D73142" w:rsidP="00D81968">
            <w:pPr>
              <w:rPr>
                <w:rFonts w:ascii="Verdana" w:hAnsi="Verdana"/>
                <w:color w:val="000000" w:themeColor="text1"/>
                <w:sz w:val="18"/>
                <w:szCs w:val="20"/>
              </w:rPr>
            </w:pPr>
          </w:p>
        </w:tc>
      </w:tr>
      <w:tr w:rsidR="00FC57D8" w:rsidRPr="002E51B2" w14:paraId="0D2F878E" w14:textId="77777777" w:rsidTr="002E51B2">
        <w:trPr>
          <w:trHeight w:val="291"/>
        </w:trPr>
        <w:tc>
          <w:tcPr>
            <w:tcW w:w="1277" w:type="dxa"/>
            <w:tcBorders>
              <w:top w:val="single" w:sz="12" w:space="0" w:color="auto"/>
              <w:bottom w:val="single" w:sz="4" w:space="0" w:color="auto"/>
            </w:tcBorders>
            <w:vAlign w:val="center"/>
          </w:tcPr>
          <w:p w14:paraId="02EA3B15" w14:textId="77777777" w:rsidR="00D73142" w:rsidRPr="002E51B2" w:rsidRDefault="00D73142" w:rsidP="00D81968">
            <w:pPr>
              <w:rPr>
                <w:rFonts w:ascii="Verdana" w:hAnsi="Verdana"/>
                <w:sz w:val="18"/>
                <w:szCs w:val="20"/>
              </w:rPr>
            </w:pPr>
            <w:r w:rsidRPr="002E51B2">
              <w:rPr>
                <w:rFonts w:ascii="Verdana" w:hAnsi="Verdana"/>
                <w:sz w:val="18"/>
                <w:szCs w:val="20"/>
              </w:rPr>
              <w:t>10:30-11:50</w:t>
            </w:r>
          </w:p>
        </w:tc>
        <w:tc>
          <w:tcPr>
            <w:tcW w:w="2835" w:type="dxa"/>
            <w:tcBorders>
              <w:top w:val="single" w:sz="12" w:space="0" w:color="auto"/>
              <w:bottom w:val="single" w:sz="4" w:space="0" w:color="auto"/>
            </w:tcBorders>
            <w:vAlign w:val="center"/>
          </w:tcPr>
          <w:p w14:paraId="6EE93B97"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Interactive Workshops </w:t>
            </w:r>
          </w:p>
        </w:tc>
        <w:tc>
          <w:tcPr>
            <w:tcW w:w="1701" w:type="dxa"/>
            <w:tcBorders>
              <w:top w:val="single" w:sz="12" w:space="0" w:color="auto"/>
              <w:bottom w:val="single" w:sz="4" w:space="0" w:color="auto"/>
            </w:tcBorders>
            <w:vAlign w:val="center"/>
          </w:tcPr>
          <w:p w14:paraId="049FFB16" w14:textId="77777777" w:rsidR="00D73142" w:rsidRPr="002E51B2" w:rsidRDefault="00D73142" w:rsidP="00D81968">
            <w:pPr>
              <w:rPr>
                <w:rFonts w:ascii="Verdana" w:hAnsi="Verdana"/>
                <w:color w:val="000000" w:themeColor="text1"/>
                <w:sz w:val="18"/>
                <w:szCs w:val="20"/>
              </w:rPr>
            </w:pPr>
          </w:p>
        </w:tc>
        <w:tc>
          <w:tcPr>
            <w:tcW w:w="1984" w:type="dxa"/>
            <w:tcBorders>
              <w:top w:val="single" w:sz="12" w:space="0" w:color="auto"/>
              <w:bottom w:val="single" w:sz="4" w:space="0" w:color="auto"/>
            </w:tcBorders>
            <w:vAlign w:val="center"/>
          </w:tcPr>
          <w:p w14:paraId="08701C57" w14:textId="77777777" w:rsidR="00D73142" w:rsidRPr="002E51B2" w:rsidRDefault="00D73142" w:rsidP="00D81968">
            <w:pPr>
              <w:rPr>
                <w:rFonts w:ascii="Verdana" w:hAnsi="Verdana"/>
                <w:color w:val="000000" w:themeColor="text1"/>
                <w:sz w:val="18"/>
                <w:szCs w:val="20"/>
              </w:rPr>
            </w:pPr>
          </w:p>
        </w:tc>
        <w:tc>
          <w:tcPr>
            <w:tcW w:w="5184" w:type="dxa"/>
            <w:tcBorders>
              <w:top w:val="single" w:sz="12" w:space="0" w:color="auto"/>
              <w:bottom w:val="single" w:sz="4" w:space="0" w:color="auto"/>
            </w:tcBorders>
            <w:vAlign w:val="center"/>
          </w:tcPr>
          <w:p w14:paraId="4FFBE290" w14:textId="77777777" w:rsidR="00D73142" w:rsidRPr="002E51B2" w:rsidRDefault="00D73142" w:rsidP="00D81968">
            <w:pPr>
              <w:rPr>
                <w:rFonts w:ascii="Verdana" w:hAnsi="Verdana"/>
                <w:color w:val="000000" w:themeColor="text1"/>
                <w:sz w:val="18"/>
                <w:szCs w:val="20"/>
              </w:rPr>
            </w:pPr>
          </w:p>
        </w:tc>
      </w:tr>
      <w:tr w:rsidR="00FC57D8" w:rsidRPr="002E51B2" w14:paraId="0F005306" w14:textId="77777777" w:rsidTr="002E51B2">
        <w:trPr>
          <w:trHeight w:val="291"/>
        </w:trPr>
        <w:tc>
          <w:tcPr>
            <w:tcW w:w="1277" w:type="dxa"/>
            <w:vMerge w:val="restart"/>
            <w:tcBorders>
              <w:top w:val="single" w:sz="4" w:space="0" w:color="auto"/>
            </w:tcBorders>
            <w:vAlign w:val="center"/>
          </w:tcPr>
          <w:p w14:paraId="737012DF" w14:textId="77777777" w:rsidR="00D73142" w:rsidRPr="002E51B2" w:rsidRDefault="00D73142" w:rsidP="00D81968">
            <w:pPr>
              <w:jc w:val="right"/>
              <w:rPr>
                <w:rFonts w:ascii="Verdana" w:hAnsi="Verdana"/>
                <w:sz w:val="18"/>
                <w:szCs w:val="20"/>
              </w:rPr>
            </w:pPr>
            <w:r w:rsidRPr="002E51B2">
              <w:rPr>
                <w:rFonts w:ascii="Verdana" w:hAnsi="Verdana"/>
                <w:sz w:val="18"/>
                <w:szCs w:val="20"/>
              </w:rPr>
              <w:t>A</w:t>
            </w:r>
          </w:p>
        </w:tc>
        <w:tc>
          <w:tcPr>
            <w:tcW w:w="2835" w:type="dxa"/>
            <w:vMerge w:val="restart"/>
            <w:tcBorders>
              <w:top w:val="single" w:sz="4" w:space="0" w:color="auto"/>
            </w:tcBorders>
            <w:vAlign w:val="center"/>
          </w:tcPr>
          <w:p w14:paraId="2D90EF5F" w14:textId="77777777" w:rsidR="00D73142" w:rsidRPr="002E51B2" w:rsidRDefault="00D73142" w:rsidP="00D81968">
            <w:pPr>
              <w:rPr>
                <w:rFonts w:ascii="Verdana" w:hAnsi="Verdana"/>
                <w:bCs/>
                <w:color w:val="000000" w:themeColor="text1"/>
                <w:sz w:val="18"/>
                <w:szCs w:val="20"/>
                <w:lang w:val="en"/>
              </w:rPr>
            </w:pPr>
            <w:r w:rsidRPr="002E51B2">
              <w:rPr>
                <w:rFonts w:ascii="Verdana" w:hAnsi="Verdana"/>
                <w:bCs/>
                <w:color w:val="000000" w:themeColor="text1"/>
                <w:sz w:val="18"/>
                <w:szCs w:val="20"/>
                <w:lang w:val="en"/>
              </w:rPr>
              <w:t>Cancer and cognition</w:t>
            </w:r>
          </w:p>
        </w:tc>
        <w:tc>
          <w:tcPr>
            <w:tcW w:w="1701" w:type="dxa"/>
            <w:tcBorders>
              <w:top w:val="single" w:sz="4" w:space="0" w:color="auto"/>
              <w:bottom w:val="single" w:sz="12" w:space="0" w:color="auto"/>
            </w:tcBorders>
            <w:vAlign w:val="center"/>
          </w:tcPr>
          <w:p w14:paraId="2C3BDAD1"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Arielle Berger</w:t>
            </w:r>
          </w:p>
        </w:tc>
        <w:tc>
          <w:tcPr>
            <w:tcW w:w="1984" w:type="dxa"/>
            <w:tcBorders>
              <w:top w:val="single" w:sz="4" w:space="0" w:color="auto"/>
              <w:bottom w:val="single" w:sz="12" w:space="0" w:color="auto"/>
            </w:tcBorders>
            <w:vAlign w:val="center"/>
          </w:tcPr>
          <w:p w14:paraId="0F464C76"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Geriatrics</w:t>
            </w:r>
          </w:p>
        </w:tc>
        <w:tc>
          <w:tcPr>
            <w:tcW w:w="5184" w:type="dxa"/>
            <w:tcBorders>
              <w:top w:val="single" w:sz="4" w:space="0" w:color="auto"/>
              <w:bottom w:val="single" w:sz="12" w:space="0" w:color="auto"/>
            </w:tcBorders>
            <w:vAlign w:val="center"/>
          </w:tcPr>
          <w:p w14:paraId="16EFF7C1" w14:textId="781DAD2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University Health Network, </w:t>
            </w:r>
            <w:r w:rsidR="002E51B2">
              <w:rPr>
                <w:rFonts w:ascii="Verdana" w:hAnsi="Verdana"/>
                <w:color w:val="000000" w:themeColor="text1"/>
                <w:sz w:val="18"/>
                <w:szCs w:val="20"/>
              </w:rPr>
              <w:br/>
            </w:r>
            <w:r w:rsidRPr="002E51B2">
              <w:rPr>
                <w:rFonts w:ascii="Verdana" w:hAnsi="Verdana"/>
                <w:color w:val="000000" w:themeColor="text1"/>
                <w:sz w:val="18"/>
                <w:szCs w:val="20"/>
              </w:rPr>
              <w:t>University of Toronto</w:t>
            </w:r>
          </w:p>
        </w:tc>
      </w:tr>
      <w:tr w:rsidR="00FC57D8" w:rsidRPr="002E51B2" w14:paraId="0E3CFB90" w14:textId="77777777" w:rsidTr="002E51B2">
        <w:trPr>
          <w:trHeight w:val="291"/>
        </w:trPr>
        <w:tc>
          <w:tcPr>
            <w:tcW w:w="1277" w:type="dxa"/>
            <w:vMerge/>
            <w:tcBorders>
              <w:bottom w:val="single" w:sz="12" w:space="0" w:color="auto"/>
            </w:tcBorders>
            <w:vAlign w:val="center"/>
          </w:tcPr>
          <w:p w14:paraId="1A7DD198" w14:textId="77777777" w:rsidR="00D73142" w:rsidRPr="002E51B2" w:rsidRDefault="00D73142" w:rsidP="00D81968">
            <w:pPr>
              <w:jc w:val="right"/>
              <w:rPr>
                <w:rFonts w:ascii="Verdana" w:hAnsi="Verdana"/>
                <w:sz w:val="18"/>
                <w:szCs w:val="20"/>
              </w:rPr>
            </w:pPr>
          </w:p>
        </w:tc>
        <w:tc>
          <w:tcPr>
            <w:tcW w:w="2835" w:type="dxa"/>
            <w:vMerge/>
            <w:tcBorders>
              <w:bottom w:val="single" w:sz="12" w:space="0" w:color="auto"/>
            </w:tcBorders>
            <w:vAlign w:val="center"/>
          </w:tcPr>
          <w:p w14:paraId="67DE6179" w14:textId="77777777" w:rsidR="00D73142" w:rsidRPr="002E51B2" w:rsidRDefault="00D73142" w:rsidP="00D81968">
            <w:pPr>
              <w:rPr>
                <w:rFonts w:ascii="Verdana" w:hAnsi="Verdana"/>
                <w:bCs/>
                <w:color w:val="000000" w:themeColor="text1"/>
                <w:sz w:val="18"/>
                <w:szCs w:val="20"/>
              </w:rPr>
            </w:pPr>
          </w:p>
        </w:tc>
        <w:tc>
          <w:tcPr>
            <w:tcW w:w="1701" w:type="dxa"/>
            <w:tcBorders>
              <w:top w:val="single" w:sz="12" w:space="0" w:color="auto"/>
              <w:bottom w:val="single" w:sz="12" w:space="0" w:color="auto"/>
            </w:tcBorders>
            <w:vAlign w:val="center"/>
          </w:tcPr>
          <w:p w14:paraId="594E5412"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Martin </w:t>
            </w:r>
          </w:p>
          <w:p w14:paraId="2CFC0CB5"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Puts</w:t>
            </w:r>
          </w:p>
        </w:tc>
        <w:tc>
          <w:tcPr>
            <w:tcW w:w="1984" w:type="dxa"/>
            <w:tcBorders>
              <w:top w:val="single" w:sz="12" w:space="0" w:color="auto"/>
              <w:bottom w:val="single" w:sz="12" w:space="0" w:color="auto"/>
            </w:tcBorders>
            <w:vAlign w:val="center"/>
          </w:tcPr>
          <w:p w14:paraId="5C80513F"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Nursing</w:t>
            </w:r>
          </w:p>
        </w:tc>
        <w:tc>
          <w:tcPr>
            <w:tcW w:w="5184" w:type="dxa"/>
            <w:tcBorders>
              <w:top w:val="single" w:sz="12" w:space="0" w:color="auto"/>
              <w:bottom w:val="single" w:sz="12" w:space="0" w:color="auto"/>
            </w:tcBorders>
            <w:vAlign w:val="center"/>
          </w:tcPr>
          <w:p w14:paraId="41B9C164" w14:textId="2A0418C6"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Lawrence S. Bloomberg Faculty of Nursing, </w:t>
            </w:r>
            <w:r w:rsidR="00FC57D8" w:rsidRPr="002E51B2">
              <w:rPr>
                <w:rFonts w:ascii="Verdana" w:hAnsi="Verdana"/>
                <w:color w:val="000000" w:themeColor="text1"/>
                <w:sz w:val="18"/>
                <w:szCs w:val="20"/>
              </w:rPr>
              <w:br/>
            </w:r>
            <w:r w:rsidRPr="002E51B2">
              <w:rPr>
                <w:rFonts w:ascii="Verdana" w:hAnsi="Verdana"/>
                <w:color w:val="000000" w:themeColor="text1"/>
                <w:sz w:val="18"/>
                <w:szCs w:val="20"/>
              </w:rPr>
              <w:t>University of Toronto</w:t>
            </w:r>
          </w:p>
        </w:tc>
      </w:tr>
      <w:tr w:rsidR="00FC57D8" w:rsidRPr="002E51B2" w14:paraId="07C4C8BF" w14:textId="77777777" w:rsidTr="002E51B2">
        <w:trPr>
          <w:trHeight w:val="291"/>
        </w:trPr>
        <w:tc>
          <w:tcPr>
            <w:tcW w:w="1277" w:type="dxa"/>
            <w:vMerge w:val="restart"/>
            <w:tcBorders>
              <w:top w:val="single" w:sz="12" w:space="0" w:color="auto"/>
            </w:tcBorders>
            <w:vAlign w:val="center"/>
          </w:tcPr>
          <w:p w14:paraId="548B7BCF" w14:textId="77777777" w:rsidR="00D73142" w:rsidRPr="002E51B2" w:rsidRDefault="00D73142" w:rsidP="00D81968">
            <w:pPr>
              <w:jc w:val="right"/>
              <w:rPr>
                <w:rFonts w:ascii="Verdana" w:hAnsi="Verdana"/>
                <w:sz w:val="18"/>
                <w:szCs w:val="20"/>
              </w:rPr>
            </w:pPr>
            <w:r w:rsidRPr="002E51B2">
              <w:rPr>
                <w:rFonts w:ascii="Verdana" w:hAnsi="Verdana"/>
                <w:sz w:val="18"/>
                <w:szCs w:val="20"/>
              </w:rPr>
              <w:t>B</w:t>
            </w:r>
          </w:p>
        </w:tc>
        <w:tc>
          <w:tcPr>
            <w:tcW w:w="2835" w:type="dxa"/>
            <w:vMerge w:val="restart"/>
            <w:tcBorders>
              <w:top w:val="single" w:sz="12" w:space="0" w:color="auto"/>
            </w:tcBorders>
            <w:vAlign w:val="center"/>
          </w:tcPr>
          <w:p w14:paraId="06198C65" w14:textId="77777777" w:rsidR="00D73142" w:rsidRPr="002E51B2" w:rsidRDefault="00D73142" w:rsidP="00D81968">
            <w:pPr>
              <w:rPr>
                <w:rFonts w:ascii="Verdana" w:hAnsi="Verdana"/>
                <w:bCs/>
                <w:color w:val="000000" w:themeColor="text1"/>
                <w:sz w:val="18"/>
                <w:szCs w:val="20"/>
                <w:lang w:val="en"/>
              </w:rPr>
            </w:pPr>
            <w:proofErr w:type="spellStart"/>
            <w:r w:rsidRPr="002E51B2">
              <w:rPr>
                <w:rFonts w:ascii="Verdana" w:hAnsi="Verdana"/>
                <w:bCs/>
                <w:color w:val="000000" w:themeColor="text1"/>
                <w:sz w:val="18"/>
                <w:szCs w:val="20"/>
                <w:lang w:val="en"/>
              </w:rPr>
              <w:t>Prehabilitation</w:t>
            </w:r>
            <w:proofErr w:type="spellEnd"/>
            <w:r w:rsidRPr="002E51B2">
              <w:rPr>
                <w:rFonts w:ascii="Verdana" w:hAnsi="Verdana"/>
                <w:bCs/>
                <w:color w:val="000000" w:themeColor="text1"/>
                <w:sz w:val="18"/>
                <w:szCs w:val="20"/>
                <w:lang w:val="en"/>
              </w:rPr>
              <w:t xml:space="preserve"> and the preoperative assessment</w:t>
            </w:r>
          </w:p>
        </w:tc>
        <w:tc>
          <w:tcPr>
            <w:tcW w:w="1701" w:type="dxa"/>
            <w:tcBorders>
              <w:top w:val="single" w:sz="12" w:space="0" w:color="auto"/>
              <w:bottom w:val="single" w:sz="12" w:space="0" w:color="auto"/>
            </w:tcBorders>
            <w:vAlign w:val="center"/>
          </w:tcPr>
          <w:p w14:paraId="1D2BAA27"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Daniel Santa Mina</w:t>
            </w:r>
          </w:p>
        </w:tc>
        <w:tc>
          <w:tcPr>
            <w:tcW w:w="1984" w:type="dxa"/>
            <w:tcBorders>
              <w:top w:val="single" w:sz="12" w:space="0" w:color="auto"/>
              <w:bottom w:val="single" w:sz="12" w:space="0" w:color="auto"/>
            </w:tcBorders>
            <w:vAlign w:val="center"/>
          </w:tcPr>
          <w:p w14:paraId="2F2B5B22"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Kinesiology</w:t>
            </w:r>
          </w:p>
        </w:tc>
        <w:tc>
          <w:tcPr>
            <w:tcW w:w="5184" w:type="dxa"/>
            <w:tcBorders>
              <w:top w:val="single" w:sz="12" w:space="0" w:color="auto"/>
              <w:bottom w:val="single" w:sz="12" w:space="0" w:color="auto"/>
            </w:tcBorders>
            <w:vAlign w:val="center"/>
          </w:tcPr>
          <w:p w14:paraId="2D53ED56"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University of Toronto</w:t>
            </w:r>
          </w:p>
        </w:tc>
      </w:tr>
      <w:tr w:rsidR="00FC57D8" w:rsidRPr="002E51B2" w14:paraId="3C7864CE" w14:textId="77777777" w:rsidTr="002E51B2">
        <w:trPr>
          <w:trHeight w:val="291"/>
        </w:trPr>
        <w:tc>
          <w:tcPr>
            <w:tcW w:w="1277" w:type="dxa"/>
            <w:vMerge/>
            <w:tcBorders>
              <w:bottom w:val="single" w:sz="12" w:space="0" w:color="auto"/>
            </w:tcBorders>
            <w:vAlign w:val="center"/>
          </w:tcPr>
          <w:p w14:paraId="23560C53" w14:textId="77777777" w:rsidR="00D73142" w:rsidRPr="002E51B2" w:rsidRDefault="00D73142" w:rsidP="00D81968">
            <w:pPr>
              <w:rPr>
                <w:rFonts w:ascii="Verdana" w:hAnsi="Verdana"/>
                <w:sz w:val="18"/>
                <w:szCs w:val="20"/>
              </w:rPr>
            </w:pPr>
          </w:p>
        </w:tc>
        <w:tc>
          <w:tcPr>
            <w:tcW w:w="2835" w:type="dxa"/>
            <w:vMerge/>
            <w:tcBorders>
              <w:bottom w:val="single" w:sz="12" w:space="0" w:color="auto"/>
            </w:tcBorders>
            <w:vAlign w:val="center"/>
          </w:tcPr>
          <w:p w14:paraId="372383D3" w14:textId="77777777" w:rsidR="00D73142" w:rsidRPr="002E51B2" w:rsidRDefault="00D73142" w:rsidP="00D81968">
            <w:pPr>
              <w:rPr>
                <w:rFonts w:ascii="Verdana" w:hAnsi="Verdana"/>
                <w:bCs/>
                <w:color w:val="000000" w:themeColor="text1"/>
                <w:sz w:val="18"/>
                <w:szCs w:val="20"/>
              </w:rPr>
            </w:pPr>
          </w:p>
        </w:tc>
        <w:tc>
          <w:tcPr>
            <w:tcW w:w="1701" w:type="dxa"/>
            <w:tcBorders>
              <w:top w:val="single" w:sz="12" w:space="0" w:color="auto"/>
              <w:bottom w:val="single" w:sz="12" w:space="0" w:color="auto"/>
            </w:tcBorders>
            <w:vAlign w:val="center"/>
          </w:tcPr>
          <w:p w14:paraId="68850DEA"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Tyler Chesney</w:t>
            </w:r>
          </w:p>
        </w:tc>
        <w:tc>
          <w:tcPr>
            <w:tcW w:w="1984" w:type="dxa"/>
            <w:tcBorders>
              <w:top w:val="single" w:sz="12" w:space="0" w:color="auto"/>
              <w:bottom w:val="single" w:sz="12" w:space="0" w:color="auto"/>
            </w:tcBorders>
            <w:vAlign w:val="center"/>
          </w:tcPr>
          <w:p w14:paraId="5373C929"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Surgical Oncology</w:t>
            </w:r>
          </w:p>
        </w:tc>
        <w:tc>
          <w:tcPr>
            <w:tcW w:w="5184" w:type="dxa"/>
            <w:tcBorders>
              <w:top w:val="single" w:sz="12" w:space="0" w:color="auto"/>
              <w:bottom w:val="single" w:sz="12" w:space="0" w:color="auto"/>
            </w:tcBorders>
            <w:vAlign w:val="center"/>
          </w:tcPr>
          <w:p w14:paraId="1BF90D1A"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St. Michael’s Hospital, University of Toronto</w:t>
            </w:r>
          </w:p>
        </w:tc>
      </w:tr>
      <w:tr w:rsidR="00FC57D8" w:rsidRPr="002E51B2" w14:paraId="0FBEA950" w14:textId="77777777" w:rsidTr="002E51B2">
        <w:trPr>
          <w:trHeight w:val="291"/>
        </w:trPr>
        <w:tc>
          <w:tcPr>
            <w:tcW w:w="1277" w:type="dxa"/>
            <w:tcBorders>
              <w:top w:val="single" w:sz="12" w:space="0" w:color="auto"/>
              <w:bottom w:val="single" w:sz="12" w:space="0" w:color="auto"/>
            </w:tcBorders>
            <w:vAlign w:val="center"/>
          </w:tcPr>
          <w:p w14:paraId="71BFFBD0" w14:textId="77777777" w:rsidR="00D73142" w:rsidRPr="002E51B2" w:rsidRDefault="00D73142" w:rsidP="00D81968">
            <w:pPr>
              <w:rPr>
                <w:rFonts w:ascii="Verdana" w:hAnsi="Verdana"/>
                <w:sz w:val="18"/>
                <w:szCs w:val="20"/>
              </w:rPr>
            </w:pPr>
            <w:r w:rsidRPr="002E51B2">
              <w:rPr>
                <w:rFonts w:ascii="Verdana" w:hAnsi="Verdana"/>
                <w:sz w:val="18"/>
                <w:szCs w:val="20"/>
              </w:rPr>
              <w:t>11:50-12:30</w:t>
            </w:r>
          </w:p>
        </w:tc>
        <w:tc>
          <w:tcPr>
            <w:tcW w:w="2835" w:type="dxa"/>
            <w:tcBorders>
              <w:top w:val="single" w:sz="12" w:space="0" w:color="auto"/>
              <w:bottom w:val="single" w:sz="12" w:space="0" w:color="auto"/>
            </w:tcBorders>
            <w:vAlign w:val="center"/>
          </w:tcPr>
          <w:p w14:paraId="6D2C579E" w14:textId="77777777" w:rsidR="00D73142" w:rsidRPr="002E51B2" w:rsidRDefault="00D73142" w:rsidP="00D81968">
            <w:pPr>
              <w:rPr>
                <w:rFonts w:ascii="Verdana" w:hAnsi="Verdana"/>
                <w:bCs/>
                <w:color w:val="000000" w:themeColor="text1"/>
                <w:sz w:val="18"/>
                <w:szCs w:val="20"/>
                <w:lang w:val="en"/>
              </w:rPr>
            </w:pPr>
            <w:r w:rsidRPr="002E51B2">
              <w:rPr>
                <w:rFonts w:ascii="Verdana" w:hAnsi="Verdana"/>
                <w:bCs/>
                <w:color w:val="000000" w:themeColor="text1"/>
                <w:sz w:val="18"/>
                <w:szCs w:val="20"/>
                <w:lang w:val="en"/>
              </w:rPr>
              <w:t>Best of geriatric oncology</w:t>
            </w:r>
          </w:p>
        </w:tc>
        <w:tc>
          <w:tcPr>
            <w:tcW w:w="1701" w:type="dxa"/>
            <w:tcBorders>
              <w:top w:val="single" w:sz="12" w:space="0" w:color="auto"/>
              <w:bottom w:val="single" w:sz="12" w:space="0" w:color="auto"/>
            </w:tcBorders>
            <w:vAlign w:val="center"/>
          </w:tcPr>
          <w:p w14:paraId="592A2861"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David Dawe</w:t>
            </w:r>
          </w:p>
        </w:tc>
        <w:tc>
          <w:tcPr>
            <w:tcW w:w="1984" w:type="dxa"/>
            <w:tcBorders>
              <w:top w:val="single" w:sz="12" w:space="0" w:color="auto"/>
              <w:bottom w:val="single" w:sz="12" w:space="0" w:color="auto"/>
            </w:tcBorders>
            <w:vAlign w:val="center"/>
          </w:tcPr>
          <w:p w14:paraId="415C054D"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Medical Oncology</w:t>
            </w:r>
          </w:p>
        </w:tc>
        <w:tc>
          <w:tcPr>
            <w:tcW w:w="5184" w:type="dxa"/>
            <w:tcBorders>
              <w:top w:val="single" w:sz="12" w:space="0" w:color="auto"/>
              <w:bottom w:val="single" w:sz="12" w:space="0" w:color="auto"/>
            </w:tcBorders>
            <w:vAlign w:val="center"/>
          </w:tcPr>
          <w:p w14:paraId="024442AD" w14:textId="77777777" w:rsidR="00D73142" w:rsidRPr="002E51B2" w:rsidRDefault="00D73142" w:rsidP="00D81968">
            <w:pPr>
              <w:rPr>
                <w:rFonts w:ascii="Verdana" w:hAnsi="Verdana"/>
                <w:color w:val="000000" w:themeColor="text1"/>
                <w:sz w:val="18"/>
                <w:szCs w:val="20"/>
              </w:rPr>
            </w:pPr>
            <w:proofErr w:type="spellStart"/>
            <w:r w:rsidRPr="002E51B2">
              <w:rPr>
                <w:rFonts w:ascii="Verdana" w:hAnsi="Verdana"/>
                <w:color w:val="000000" w:themeColor="text1"/>
                <w:sz w:val="18"/>
                <w:szCs w:val="20"/>
              </w:rPr>
              <w:t>CancerCare</w:t>
            </w:r>
            <w:proofErr w:type="spellEnd"/>
            <w:r w:rsidRPr="002E51B2">
              <w:rPr>
                <w:rFonts w:ascii="Verdana" w:hAnsi="Verdana"/>
                <w:color w:val="000000" w:themeColor="text1"/>
                <w:sz w:val="18"/>
                <w:szCs w:val="20"/>
              </w:rPr>
              <w:t xml:space="preserve"> Manitoba, University of Manitoba</w:t>
            </w:r>
          </w:p>
        </w:tc>
      </w:tr>
      <w:tr w:rsidR="00FC57D8" w:rsidRPr="002E51B2" w14:paraId="7F0AEF85" w14:textId="77777777" w:rsidTr="002E51B2">
        <w:trPr>
          <w:trHeight w:val="291"/>
        </w:trPr>
        <w:tc>
          <w:tcPr>
            <w:tcW w:w="1277" w:type="dxa"/>
            <w:tcBorders>
              <w:top w:val="single" w:sz="12" w:space="0" w:color="auto"/>
              <w:bottom w:val="single" w:sz="12" w:space="0" w:color="auto"/>
            </w:tcBorders>
            <w:shd w:val="clear" w:color="auto" w:fill="F2F2F2" w:themeFill="background1" w:themeFillShade="F2"/>
            <w:vAlign w:val="center"/>
          </w:tcPr>
          <w:p w14:paraId="207219F7" w14:textId="77777777" w:rsidR="00D73142" w:rsidRPr="002E51B2" w:rsidRDefault="00D73142" w:rsidP="00D81968">
            <w:pPr>
              <w:rPr>
                <w:rFonts w:ascii="Verdana" w:hAnsi="Verdana"/>
                <w:sz w:val="18"/>
                <w:szCs w:val="20"/>
              </w:rPr>
            </w:pPr>
            <w:r w:rsidRPr="002E51B2">
              <w:rPr>
                <w:rFonts w:ascii="Verdana" w:hAnsi="Verdana"/>
                <w:sz w:val="18"/>
                <w:szCs w:val="20"/>
              </w:rPr>
              <w:t>12:30-13:30</w:t>
            </w:r>
          </w:p>
        </w:tc>
        <w:tc>
          <w:tcPr>
            <w:tcW w:w="2835" w:type="dxa"/>
            <w:tcBorders>
              <w:top w:val="single" w:sz="12" w:space="0" w:color="auto"/>
              <w:bottom w:val="single" w:sz="12" w:space="0" w:color="auto"/>
            </w:tcBorders>
            <w:shd w:val="clear" w:color="auto" w:fill="F2F2F2" w:themeFill="background1" w:themeFillShade="F2"/>
            <w:vAlign w:val="center"/>
          </w:tcPr>
          <w:p w14:paraId="545AD02D"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Lunch and Networking</w:t>
            </w:r>
          </w:p>
        </w:tc>
        <w:tc>
          <w:tcPr>
            <w:tcW w:w="1701" w:type="dxa"/>
            <w:tcBorders>
              <w:top w:val="single" w:sz="12" w:space="0" w:color="auto"/>
              <w:bottom w:val="single" w:sz="12" w:space="0" w:color="auto"/>
            </w:tcBorders>
            <w:shd w:val="clear" w:color="auto" w:fill="F2F2F2" w:themeFill="background1" w:themeFillShade="F2"/>
            <w:vAlign w:val="center"/>
          </w:tcPr>
          <w:p w14:paraId="3AF13812" w14:textId="77777777" w:rsidR="00D73142" w:rsidRPr="002E51B2" w:rsidRDefault="00D73142" w:rsidP="00D81968">
            <w:pPr>
              <w:rPr>
                <w:rFonts w:ascii="Verdana" w:hAnsi="Verdana"/>
                <w:color w:val="000000" w:themeColor="text1"/>
                <w:sz w:val="18"/>
                <w:szCs w:val="20"/>
              </w:rPr>
            </w:pPr>
          </w:p>
        </w:tc>
        <w:tc>
          <w:tcPr>
            <w:tcW w:w="1984" w:type="dxa"/>
            <w:tcBorders>
              <w:top w:val="single" w:sz="12" w:space="0" w:color="auto"/>
              <w:bottom w:val="single" w:sz="12" w:space="0" w:color="auto"/>
            </w:tcBorders>
            <w:shd w:val="clear" w:color="auto" w:fill="F2F2F2" w:themeFill="background1" w:themeFillShade="F2"/>
            <w:vAlign w:val="center"/>
          </w:tcPr>
          <w:p w14:paraId="5300EFB1" w14:textId="77777777" w:rsidR="00D73142" w:rsidRPr="002E51B2" w:rsidRDefault="00D73142" w:rsidP="00D81968">
            <w:pPr>
              <w:rPr>
                <w:rFonts w:ascii="Verdana" w:hAnsi="Verdana"/>
                <w:color w:val="000000" w:themeColor="text1"/>
                <w:sz w:val="18"/>
                <w:szCs w:val="20"/>
              </w:rPr>
            </w:pPr>
          </w:p>
        </w:tc>
        <w:tc>
          <w:tcPr>
            <w:tcW w:w="5184" w:type="dxa"/>
            <w:tcBorders>
              <w:top w:val="single" w:sz="12" w:space="0" w:color="auto"/>
              <w:bottom w:val="single" w:sz="12" w:space="0" w:color="auto"/>
            </w:tcBorders>
            <w:shd w:val="clear" w:color="auto" w:fill="F2F2F2" w:themeFill="background1" w:themeFillShade="F2"/>
            <w:vAlign w:val="center"/>
          </w:tcPr>
          <w:p w14:paraId="65F83B61" w14:textId="77777777" w:rsidR="00D73142" w:rsidRPr="002E51B2" w:rsidRDefault="00D73142" w:rsidP="00D81968">
            <w:pPr>
              <w:rPr>
                <w:rFonts w:ascii="Verdana" w:hAnsi="Verdana"/>
                <w:color w:val="000000" w:themeColor="text1"/>
                <w:sz w:val="18"/>
                <w:szCs w:val="20"/>
              </w:rPr>
            </w:pPr>
          </w:p>
        </w:tc>
      </w:tr>
      <w:tr w:rsidR="00FC57D8" w:rsidRPr="002E51B2" w14:paraId="490153FF" w14:textId="77777777" w:rsidTr="002E51B2">
        <w:trPr>
          <w:trHeight w:val="291"/>
        </w:trPr>
        <w:tc>
          <w:tcPr>
            <w:tcW w:w="1277" w:type="dxa"/>
            <w:tcBorders>
              <w:top w:val="single" w:sz="12" w:space="0" w:color="auto"/>
              <w:bottom w:val="single" w:sz="12" w:space="0" w:color="auto"/>
            </w:tcBorders>
            <w:vAlign w:val="center"/>
          </w:tcPr>
          <w:p w14:paraId="6193C81C" w14:textId="77777777" w:rsidR="00D73142" w:rsidRPr="002E51B2" w:rsidRDefault="00D73142" w:rsidP="00D81968">
            <w:pPr>
              <w:rPr>
                <w:rFonts w:ascii="Verdana" w:hAnsi="Verdana"/>
                <w:sz w:val="18"/>
                <w:szCs w:val="20"/>
              </w:rPr>
            </w:pPr>
            <w:r w:rsidRPr="002E51B2">
              <w:rPr>
                <w:rFonts w:ascii="Verdana" w:hAnsi="Verdana"/>
                <w:sz w:val="18"/>
                <w:szCs w:val="20"/>
              </w:rPr>
              <w:t>13:30-14:15</w:t>
            </w:r>
          </w:p>
        </w:tc>
        <w:tc>
          <w:tcPr>
            <w:tcW w:w="2835" w:type="dxa"/>
            <w:tcBorders>
              <w:top w:val="single" w:sz="12" w:space="0" w:color="auto"/>
              <w:bottom w:val="single" w:sz="12" w:space="0" w:color="auto"/>
            </w:tcBorders>
            <w:vAlign w:val="center"/>
          </w:tcPr>
          <w:p w14:paraId="7D70D1AE" w14:textId="77777777" w:rsidR="00D73142" w:rsidRPr="002E51B2" w:rsidRDefault="00D73142" w:rsidP="00D81968">
            <w:pPr>
              <w:rPr>
                <w:rFonts w:ascii="Verdana" w:hAnsi="Verdana"/>
                <w:bCs/>
                <w:color w:val="000000" w:themeColor="text1"/>
                <w:sz w:val="18"/>
                <w:szCs w:val="20"/>
                <w:lang w:val="en"/>
              </w:rPr>
            </w:pPr>
            <w:r w:rsidRPr="002E51B2">
              <w:rPr>
                <w:rFonts w:ascii="Verdana" w:hAnsi="Verdana"/>
                <w:bCs/>
                <w:color w:val="000000" w:themeColor="text1"/>
                <w:sz w:val="18"/>
                <w:szCs w:val="20"/>
                <w:lang w:val="en"/>
              </w:rPr>
              <w:t>Communication, treatment decision making, and coordination of care</w:t>
            </w:r>
          </w:p>
        </w:tc>
        <w:tc>
          <w:tcPr>
            <w:tcW w:w="1701" w:type="dxa"/>
            <w:tcBorders>
              <w:top w:val="single" w:sz="12" w:space="0" w:color="auto"/>
              <w:bottom w:val="single" w:sz="12" w:space="0" w:color="auto"/>
            </w:tcBorders>
            <w:vAlign w:val="center"/>
          </w:tcPr>
          <w:p w14:paraId="6C28F58C"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Fay </w:t>
            </w:r>
            <w:proofErr w:type="spellStart"/>
            <w:r w:rsidRPr="002E51B2">
              <w:rPr>
                <w:rFonts w:ascii="Verdana" w:hAnsi="Verdana"/>
                <w:color w:val="000000" w:themeColor="text1"/>
                <w:sz w:val="18"/>
                <w:szCs w:val="20"/>
              </w:rPr>
              <w:t>Strohschein</w:t>
            </w:r>
            <w:proofErr w:type="spellEnd"/>
          </w:p>
        </w:tc>
        <w:tc>
          <w:tcPr>
            <w:tcW w:w="1984" w:type="dxa"/>
            <w:tcBorders>
              <w:top w:val="single" w:sz="12" w:space="0" w:color="auto"/>
              <w:bottom w:val="single" w:sz="12" w:space="0" w:color="auto"/>
            </w:tcBorders>
            <w:vAlign w:val="center"/>
          </w:tcPr>
          <w:p w14:paraId="7A60E714"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Nursing</w:t>
            </w:r>
          </w:p>
        </w:tc>
        <w:tc>
          <w:tcPr>
            <w:tcW w:w="5184" w:type="dxa"/>
            <w:tcBorders>
              <w:top w:val="single" w:sz="12" w:space="0" w:color="auto"/>
              <w:bottom w:val="single" w:sz="12" w:space="0" w:color="auto"/>
            </w:tcBorders>
            <w:vAlign w:val="center"/>
          </w:tcPr>
          <w:p w14:paraId="728DE7C5"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McGill University </w:t>
            </w:r>
          </w:p>
        </w:tc>
      </w:tr>
      <w:tr w:rsidR="00FC57D8" w:rsidRPr="002E51B2" w14:paraId="34362314" w14:textId="77777777" w:rsidTr="002E51B2">
        <w:trPr>
          <w:trHeight w:val="291"/>
        </w:trPr>
        <w:tc>
          <w:tcPr>
            <w:tcW w:w="1277" w:type="dxa"/>
            <w:tcBorders>
              <w:top w:val="single" w:sz="12" w:space="0" w:color="auto"/>
              <w:bottom w:val="single" w:sz="12" w:space="0" w:color="auto"/>
            </w:tcBorders>
            <w:vAlign w:val="center"/>
          </w:tcPr>
          <w:p w14:paraId="530038F9" w14:textId="77777777" w:rsidR="00D73142" w:rsidRPr="002E51B2" w:rsidRDefault="00D73142" w:rsidP="00D81968">
            <w:pPr>
              <w:rPr>
                <w:rFonts w:ascii="Verdana" w:hAnsi="Verdana"/>
                <w:sz w:val="18"/>
                <w:szCs w:val="20"/>
              </w:rPr>
            </w:pPr>
            <w:r w:rsidRPr="002E51B2">
              <w:rPr>
                <w:rFonts w:ascii="Verdana" w:hAnsi="Verdana"/>
                <w:sz w:val="18"/>
                <w:szCs w:val="20"/>
              </w:rPr>
              <w:t>14:15-15:45</w:t>
            </w:r>
          </w:p>
        </w:tc>
        <w:tc>
          <w:tcPr>
            <w:tcW w:w="2835" w:type="dxa"/>
            <w:tcBorders>
              <w:top w:val="single" w:sz="12" w:space="0" w:color="auto"/>
              <w:bottom w:val="single" w:sz="12" w:space="0" w:color="auto"/>
            </w:tcBorders>
            <w:vAlign w:val="center"/>
          </w:tcPr>
          <w:p w14:paraId="4A969268" w14:textId="77777777" w:rsidR="00D73142" w:rsidRPr="002E51B2" w:rsidRDefault="00D73142" w:rsidP="00D81968">
            <w:pPr>
              <w:rPr>
                <w:rFonts w:ascii="Verdana" w:hAnsi="Verdana"/>
                <w:bCs/>
                <w:color w:val="000000" w:themeColor="text1"/>
                <w:sz w:val="18"/>
                <w:szCs w:val="20"/>
              </w:rPr>
            </w:pPr>
            <w:r w:rsidRPr="002E51B2">
              <w:rPr>
                <w:rFonts w:ascii="Verdana" w:hAnsi="Verdana"/>
                <w:color w:val="000000" w:themeColor="text1"/>
                <w:sz w:val="18"/>
                <w:szCs w:val="20"/>
              </w:rPr>
              <w:t>Interactive Workshops</w:t>
            </w:r>
          </w:p>
        </w:tc>
        <w:tc>
          <w:tcPr>
            <w:tcW w:w="1701" w:type="dxa"/>
            <w:tcBorders>
              <w:top w:val="single" w:sz="12" w:space="0" w:color="auto"/>
              <w:bottom w:val="single" w:sz="12" w:space="0" w:color="auto"/>
            </w:tcBorders>
            <w:vAlign w:val="center"/>
          </w:tcPr>
          <w:p w14:paraId="0D7B737B" w14:textId="77777777" w:rsidR="00D73142" w:rsidRPr="002E51B2" w:rsidRDefault="00D73142" w:rsidP="00D81968">
            <w:pPr>
              <w:rPr>
                <w:rFonts w:ascii="Verdana" w:hAnsi="Verdana"/>
                <w:color w:val="000000" w:themeColor="text1"/>
                <w:sz w:val="18"/>
                <w:szCs w:val="20"/>
              </w:rPr>
            </w:pPr>
          </w:p>
        </w:tc>
        <w:tc>
          <w:tcPr>
            <w:tcW w:w="1984" w:type="dxa"/>
            <w:tcBorders>
              <w:top w:val="single" w:sz="12" w:space="0" w:color="auto"/>
              <w:bottom w:val="single" w:sz="12" w:space="0" w:color="auto"/>
            </w:tcBorders>
            <w:vAlign w:val="center"/>
          </w:tcPr>
          <w:p w14:paraId="5409E50A" w14:textId="77777777" w:rsidR="00D73142" w:rsidRPr="002E51B2" w:rsidRDefault="00D73142" w:rsidP="00D81968">
            <w:pPr>
              <w:rPr>
                <w:rFonts w:ascii="Verdana" w:hAnsi="Verdana"/>
                <w:color w:val="000000" w:themeColor="text1"/>
                <w:sz w:val="18"/>
                <w:szCs w:val="20"/>
              </w:rPr>
            </w:pPr>
          </w:p>
        </w:tc>
        <w:tc>
          <w:tcPr>
            <w:tcW w:w="5184" w:type="dxa"/>
            <w:tcBorders>
              <w:top w:val="single" w:sz="12" w:space="0" w:color="auto"/>
              <w:bottom w:val="single" w:sz="12" w:space="0" w:color="auto"/>
            </w:tcBorders>
            <w:vAlign w:val="center"/>
          </w:tcPr>
          <w:p w14:paraId="1AA482AF" w14:textId="77777777" w:rsidR="00D73142" w:rsidRPr="002E51B2" w:rsidRDefault="00D73142" w:rsidP="00D81968">
            <w:pPr>
              <w:rPr>
                <w:rFonts w:ascii="Verdana" w:hAnsi="Verdana"/>
                <w:color w:val="000000" w:themeColor="text1"/>
                <w:sz w:val="18"/>
                <w:szCs w:val="20"/>
              </w:rPr>
            </w:pPr>
          </w:p>
        </w:tc>
      </w:tr>
      <w:tr w:rsidR="00FC57D8" w:rsidRPr="002E51B2" w14:paraId="6F4CA054" w14:textId="77777777" w:rsidTr="002E51B2">
        <w:trPr>
          <w:trHeight w:val="291"/>
        </w:trPr>
        <w:tc>
          <w:tcPr>
            <w:tcW w:w="1277" w:type="dxa"/>
            <w:vMerge w:val="restart"/>
            <w:tcBorders>
              <w:top w:val="single" w:sz="12" w:space="0" w:color="auto"/>
            </w:tcBorders>
            <w:vAlign w:val="center"/>
          </w:tcPr>
          <w:p w14:paraId="1BEC9640" w14:textId="77777777" w:rsidR="00D73142" w:rsidRPr="002E51B2" w:rsidRDefault="00D73142" w:rsidP="00D81968">
            <w:pPr>
              <w:jc w:val="right"/>
              <w:rPr>
                <w:rFonts w:ascii="Verdana" w:hAnsi="Verdana"/>
                <w:sz w:val="18"/>
                <w:szCs w:val="20"/>
              </w:rPr>
            </w:pPr>
            <w:r w:rsidRPr="002E51B2">
              <w:rPr>
                <w:rFonts w:ascii="Verdana" w:hAnsi="Verdana"/>
                <w:sz w:val="18"/>
                <w:szCs w:val="20"/>
              </w:rPr>
              <w:t>A</w:t>
            </w:r>
          </w:p>
        </w:tc>
        <w:tc>
          <w:tcPr>
            <w:tcW w:w="2835" w:type="dxa"/>
            <w:vMerge w:val="restart"/>
            <w:tcBorders>
              <w:top w:val="single" w:sz="12" w:space="0" w:color="auto"/>
            </w:tcBorders>
            <w:vAlign w:val="center"/>
          </w:tcPr>
          <w:p w14:paraId="5E4CE2E0" w14:textId="77777777" w:rsidR="00D73142" w:rsidRPr="002E51B2" w:rsidRDefault="00D73142" w:rsidP="00D81968">
            <w:pPr>
              <w:rPr>
                <w:rFonts w:ascii="Verdana" w:hAnsi="Verdana"/>
                <w:bCs/>
                <w:color w:val="000000" w:themeColor="text1"/>
                <w:sz w:val="18"/>
                <w:szCs w:val="20"/>
                <w:lang w:val="en"/>
              </w:rPr>
            </w:pPr>
            <w:r w:rsidRPr="002E51B2">
              <w:rPr>
                <w:rFonts w:ascii="Verdana" w:hAnsi="Verdana"/>
                <w:bCs/>
                <w:color w:val="000000" w:themeColor="text1"/>
                <w:sz w:val="18"/>
                <w:szCs w:val="20"/>
                <w:lang w:val="en"/>
              </w:rPr>
              <w:t>Nutrition in older adults with cancer</w:t>
            </w:r>
          </w:p>
        </w:tc>
        <w:tc>
          <w:tcPr>
            <w:tcW w:w="1701" w:type="dxa"/>
            <w:tcBorders>
              <w:top w:val="single" w:sz="12" w:space="0" w:color="auto"/>
              <w:bottom w:val="single" w:sz="12" w:space="0" w:color="auto"/>
            </w:tcBorders>
            <w:vAlign w:val="center"/>
          </w:tcPr>
          <w:p w14:paraId="46A88C1B"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Daniela </w:t>
            </w:r>
            <w:proofErr w:type="spellStart"/>
            <w:r w:rsidRPr="002E51B2">
              <w:rPr>
                <w:rFonts w:ascii="Verdana" w:hAnsi="Verdana"/>
                <w:color w:val="000000" w:themeColor="text1"/>
                <w:sz w:val="18"/>
                <w:szCs w:val="20"/>
              </w:rPr>
              <w:t>Fierini</w:t>
            </w:r>
            <w:proofErr w:type="spellEnd"/>
          </w:p>
        </w:tc>
        <w:tc>
          <w:tcPr>
            <w:tcW w:w="1984" w:type="dxa"/>
            <w:tcBorders>
              <w:top w:val="single" w:sz="12" w:space="0" w:color="auto"/>
              <w:bottom w:val="single" w:sz="12" w:space="0" w:color="auto"/>
            </w:tcBorders>
            <w:vAlign w:val="center"/>
          </w:tcPr>
          <w:p w14:paraId="4B13D4C1"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Dietician</w:t>
            </w:r>
          </w:p>
        </w:tc>
        <w:tc>
          <w:tcPr>
            <w:tcW w:w="5184" w:type="dxa"/>
            <w:tcBorders>
              <w:top w:val="single" w:sz="12" w:space="0" w:color="auto"/>
              <w:bottom w:val="single" w:sz="12" w:space="0" w:color="auto"/>
            </w:tcBorders>
            <w:vAlign w:val="center"/>
          </w:tcPr>
          <w:p w14:paraId="52D5CDFF"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Princess Margaret Cancer Centre</w:t>
            </w:r>
          </w:p>
        </w:tc>
      </w:tr>
      <w:tr w:rsidR="00FC57D8" w:rsidRPr="002E51B2" w14:paraId="08BB5BA4" w14:textId="77777777" w:rsidTr="002E51B2">
        <w:trPr>
          <w:trHeight w:val="291"/>
        </w:trPr>
        <w:tc>
          <w:tcPr>
            <w:tcW w:w="1277" w:type="dxa"/>
            <w:vMerge/>
            <w:tcBorders>
              <w:bottom w:val="single" w:sz="12" w:space="0" w:color="auto"/>
            </w:tcBorders>
            <w:vAlign w:val="center"/>
          </w:tcPr>
          <w:p w14:paraId="69AF978C" w14:textId="77777777" w:rsidR="00D73142" w:rsidRPr="002E51B2" w:rsidRDefault="00D73142" w:rsidP="00D81968">
            <w:pPr>
              <w:jc w:val="right"/>
              <w:rPr>
                <w:rFonts w:ascii="Verdana" w:hAnsi="Verdana"/>
                <w:sz w:val="18"/>
                <w:szCs w:val="20"/>
              </w:rPr>
            </w:pPr>
          </w:p>
        </w:tc>
        <w:tc>
          <w:tcPr>
            <w:tcW w:w="2835" w:type="dxa"/>
            <w:vMerge/>
            <w:tcBorders>
              <w:bottom w:val="single" w:sz="12" w:space="0" w:color="auto"/>
            </w:tcBorders>
            <w:vAlign w:val="center"/>
          </w:tcPr>
          <w:p w14:paraId="1055B865" w14:textId="77777777" w:rsidR="00D73142" w:rsidRPr="002E51B2" w:rsidRDefault="00D73142" w:rsidP="00D81968">
            <w:pPr>
              <w:rPr>
                <w:rFonts w:ascii="Verdana" w:hAnsi="Verdana"/>
                <w:color w:val="000000" w:themeColor="text1"/>
                <w:sz w:val="18"/>
                <w:szCs w:val="20"/>
              </w:rPr>
            </w:pPr>
          </w:p>
        </w:tc>
        <w:tc>
          <w:tcPr>
            <w:tcW w:w="1701" w:type="dxa"/>
            <w:tcBorders>
              <w:top w:val="single" w:sz="12" w:space="0" w:color="auto"/>
              <w:bottom w:val="single" w:sz="12" w:space="0" w:color="auto"/>
            </w:tcBorders>
            <w:vAlign w:val="center"/>
          </w:tcPr>
          <w:p w14:paraId="438FA8B3"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Martin </w:t>
            </w:r>
            <w:proofErr w:type="spellStart"/>
            <w:r w:rsidRPr="002E51B2">
              <w:rPr>
                <w:rFonts w:ascii="Verdana" w:hAnsi="Verdana"/>
                <w:color w:val="000000" w:themeColor="text1"/>
                <w:sz w:val="18"/>
                <w:szCs w:val="20"/>
              </w:rPr>
              <w:t>Chasen</w:t>
            </w:r>
            <w:proofErr w:type="spellEnd"/>
          </w:p>
        </w:tc>
        <w:tc>
          <w:tcPr>
            <w:tcW w:w="1984" w:type="dxa"/>
            <w:tcBorders>
              <w:top w:val="single" w:sz="12" w:space="0" w:color="auto"/>
              <w:bottom w:val="single" w:sz="12" w:space="0" w:color="auto"/>
            </w:tcBorders>
            <w:vAlign w:val="center"/>
          </w:tcPr>
          <w:p w14:paraId="7947A2BB"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Palliative Care </w:t>
            </w:r>
          </w:p>
        </w:tc>
        <w:tc>
          <w:tcPr>
            <w:tcW w:w="5184" w:type="dxa"/>
            <w:tcBorders>
              <w:top w:val="single" w:sz="12" w:space="0" w:color="auto"/>
              <w:bottom w:val="single" w:sz="12" w:space="0" w:color="auto"/>
            </w:tcBorders>
            <w:vAlign w:val="center"/>
          </w:tcPr>
          <w:p w14:paraId="4C3AD99E"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William Osler Health System</w:t>
            </w:r>
          </w:p>
        </w:tc>
      </w:tr>
      <w:tr w:rsidR="00FC57D8" w:rsidRPr="002E51B2" w14:paraId="701B98F7" w14:textId="77777777" w:rsidTr="002E51B2">
        <w:trPr>
          <w:trHeight w:val="291"/>
        </w:trPr>
        <w:tc>
          <w:tcPr>
            <w:tcW w:w="1277" w:type="dxa"/>
            <w:vMerge w:val="restart"/>
            <w:tcBorders>
              <w:top w:val="single" w:sz="12" w:space="0" w:color="auto"/>
            </w:tcBorders>
            <w:vAlign w:val="center"/>
          </w:tcPr>
          <w:p w14:paraId="16B762DF" w14:textId="77777777" w:rsidR="00D73142" w:rsidRPr="002E51B2" w:rsidRDefault="00D73142" w:rsidP="00D81968">
            <w:pPr>
              <w:jc w:val="right"/>
              <w:rPr>
                <w:rFonts w:ascii="Verdana" w:hAnsi="Verdana"/>
                <w:sz w:val="18"/>
                <w:szCs w:val="20"/>
              </w:rPr>
            </w:pPr>
            <w:r w:rsidRPr="002E51B2">
              <w:rPr>
                <w:rFonts w:ascii="Verdana" w:hAnsi="Verdana"/>
                <w:sz w:val="18"/>
                <w:szCs w:val="20"/>
              </w:rPr>
              <w:t>B</w:t>
            </w:r>
          </w:p>
        </w:tc>
        <w:tc>
          <w:tcPr>
            <w:tcW w:w="2835" w:type="dxa"/>
            <w:vMerge w:val="restart"/>
            <w:tcBorders>
              <w:top w:val="single" w:sz="12" w:space="0" w:color="auto"/>
            </w:tcBorders>
            <w:vAlign w:val="center"/>
          </w:tcPr>
          <w:p w14:paraId="1458B2A5" w14:textId="77777777" w:rsidR="00D73142" w:rsidRPr="002E51B2" w:rsidRDefault="00D73142" w:rsidP="00D81968">
            <w:pPr>
              <w:rPr>
                <w:rFonts w:ascii="Verdana" w:hAnsi="Verdana"/>
                <w:bCs/>
                <w:color w:val="000000" w:themeColor="text1"/>
                <w:sz w:val="18"/>
                <w:szCs w:val="20"/>
                <w:lang w:val="en"/>
              </w:rPr>
            </w:pPr>
            <w:r w:rsidRPr="002E51B2">
              <w:rPr>
                <w:rFonts w:ascii="Verdana" w:hAnsi="Verdana"/>
                <w:bCs/>
                <w:color w:val="000000" w:themeColor="text1"/>
                <w:sz w:val="18"/>
                <w:szCs w:val="20"/>
                <w:lang w:val="en"/>
              </w:rPr>
              <w:t>Toxicity prediction, management and modification</w:t>
            </w:r>
          </w:p>
        </w:tc>
        <w:tc>
          <w:tcPr>
            <w:tcW w:w="1701" w:type="dxa"/>
            <w:tcBorders>
              <w:top w:val="single" w:sz="12" w:space="0" w:color="auto"/>
              <w:bottom w:val="single" w:sz="12" w:space="0" w:color="auto"/>
            </w:tcBorders>
            <w:vAlign w:val="center"/>
          </w:tcPr>
          <w:p w14:paraId="29CA2F2C"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Ines </w:t>
            </w:r>
            <w:proofErr w:type="spellStart"/>
            <w:r w:rsidRPr="002E51B2">
              <w:rPr>
                <w:rFonts w:ascii="Verdana" w:hAnsi="Verdana"/>
                <w:color w:val="000000" w:themeColor="text1"/>
                <w:sz w:val="18"/>
                <w:szCs w:val="20"/>
              </w:rPr>
              <w:t>Menjak</w:t>
            </w:r>
            <w:proofErr w:type="spellEnd"/>
          </w:p>
        </w:tc>
        <w:tc>
          <w:tcPr>
            <w:tcW w:w="1984" w:type="dxa"/>
            <w:tcBorders>
              <w:top w:val="single" w:sz="12" w:space="0" w:color="auto"/>
              <w:bottom w:val="single" w:sz="12" w:space="0" w:color="auto"/>
            </w:tcBorders>
            <w:vAlign w:val="center"/>
          </w:tcPr>
          <w:p w14:paraId="4C806C8C"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Medical Oncology</w:t>
            </w:r>
          </w:p>
        </w:tc>
        <w:tc>
          <w:tcPr>
            <w:tcW w:w="5184" w:type="dxa"/>
            <w:tcBorders>
              <w:top w:val="single" w:sz="12" w:space="0" w:color="auto"/>
              <w:bottom w:val="single" w:sz="12" w:space="0" w:color="auto"/>
            </w:tcBorders>
            <w:vAlign w:val="center"/>
          </w:tcPr>
          <w:p w14:paraId="75D10E39" w14:textId="7A37293C"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Sunnybrook Health Sciences Centre, </w:t>
            </w:r>
            <w:r w:rsidR="00FC57D8" w:rsidRPr="002E51B2">
              <w:rPr>
                <w:rFonts w:ascii="Verdana" w:hAnsi="Verdana"/>
                <w:color w:val="000000" w:themeColor="text1"/>
                <w:sz w:val="18"/>
                <w:szCs w:val="20"/>
              </w:rPr>
              <w:br/>
            </w:r>
            <w:r w:rsidRPr="002E51B2">
              <w:rPr>
                <w:rFonts w:ascii="Verdana" w:hAnsi="Verdana"/>
                <w:color w:val="000000" w:themeColor="text1"/>
                <w:sz w:val="18"/>
                <w:szCs w:val="20"/>
              </w:rPr>
              <w:t>University of Toronto</w:t>
            </w:r>
          </w:p>
        </w:tc>
      </w:tr>
      <w:tr w:rsidR="00FC57D8" w:rsidRPr="002E51B2" w14:paraId="320BE91B" w14:textId="77777777" w:rsidTr="002E51B2">
        <w:trPr>
          <w:trHeight w:val="291"/>
        </w:trPr>
        <w:tc>
          <w:tcPr>
            <w:tcW w:w="1277" w:type="dxa"/>
            <w:vMerge/>
            <w:tcBorders>
              <w:bottom w:val="single" w:sz="12" w:space="0" w:color="auto"/>
            </w:tcBorders>
            <w:vAlign w:val="center"/>
          </w:tcPr>
          <w:p w14:paraId="6DC82A19" w14:textId="77777777" w:rsidR="00D73142" w:rsidRPr="002E51B2" w:rsidRDefault="00D73142" w:rsidP="00D81968">
            <w:pPr>
              <w:rPr>
                <w:rFonts w:ascii="Verdana" w:hAnsi="Verdana"/>
                <w:sz w:val="18"/>
                <w:szCs w:val="20"/>
              </w:rPr>
            </w:pPr>
          </w:p>
        </w:tc>
        <w:tc>
          <w:tcPr>
            <w:tcW w:w="2835" w:type="dxa"/>
            <w:vMerge/>
            <w:tcBorders>
              <w:bottom w:val="single" w:sz="12" w:space="0" w:color="auto"/>
            </w:tcBorders>
            <w:vAlign w:val="center"/>
          </w:tcPr>
          <w:p w14:paraId="3303F05A" w14:textId="77777777" w:rsidR="00D73142" w:rsidRPr="002E51B2" w:rsidRDefault="00D73142" w:rsidP="00D81968">
            <w:pPr>
              <w:rPr>
                <w:rFonts w:ascii="Verdana" w:hAnsi="Verdana"/>
                <w:color w:val="000000" w:themeColor="text1"/>
                <w:sz w:val="18"/>
                <w:szCs w:val="20"/>
              </w:rPr>
            </w:pPr>
          </w:p>
        </w:tc>
        <w:tc>
          <w:tcPr>
            <w:tcW w:w="1701" w:type="dxa"/>
            <w:tcBorders>
              <w:top w:val="single" w:sz="12" w:space="0" w:color="auto"/>
              <w:bottom w:val="single" w:sz="12" w:space="0" w:color="auto"/>
            </w:tcBorders>
            <w:vAlign w:val="center"/>
          </w:tcPr>
          <w:p w14:paraId="39287C7F"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Kristen </w:t>
            </w:r>
            <w:proofErr w:type="spellStart"/>
            <w:r w:rsidRPr="002E51B2">
              <w:rPr>
                <w:rFonts w:ascii="Verdana" w:hAnsi="Verdana"/>
                <w:color w:val="000000" w:themeColor="text1"/>
                <w:sz w:val="18"/>
                <w:szCs w:val="20"/>
              </w:rPr>
              <w:t>Haase</w:t>
            </w:r>
            <w:proofErr w:type="spellEnd"/>
          </w:p>
        </w:tc>
        <w:tc>
          <w:tcPr>
            <w:tcW w:w="1984" w:type="dxa"/>
            <w:tcBorders>
              <w:top w:val="single" w:sz="12" w:space="0" w:color="auto"/>
              <w:bottom w:val="single" w:sz="12" w:space="0" w:color="auto"/>
            </w:tcBorders>
            <w:vAlign w:val="center"/>
          </w:tcPr>
          <w:p w14:paraId="613CD8C5"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Nursing</w:t>
            </w:r>
          </w:p>
        </w:tc>
        <w:tc>
          <w:tcPr>
            <w:tcW w:w="5184" w:type="dxa"/>
            <w:tcBorders>
              <w:top w:val="single" w:sz="12" w:space="0" w:color="auto"/>
              <w:bottom w:val="single" w:sz="12" w:space="0" w:color="auto"/>
            </w:tcBorders>
            <w:vAlign w:val="center"/>
          </w:tcPr>
          <w:p w14:paraId="47E11A67" w14:textId="2B22FBAC" w:rsid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 xml:space="preserve">College of Nursing, </w:t>
            </w:r>
          </w:p>
          <w:p w14:paraId="7654E617"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University of Saskatchewan</w:t>
            </w:r>
          </w:p>
        </w:tc>
      </w:tr>
      <w:tr w:rsidR="00FC57D8" w:rsidRPr="002E51B2" w14:paraId="222BDBC1" w14:textId="77777777" w:rsidTr="002E51B2">
        <w:trPr>
          <w:trHeight w:val="291"/>
        </w:trPr>
        <w:tc>
          <w:tcPr>
            <w:tcW w:w="1277" w:type="dxa"/>
            <w:tcBorders>
              <w:top w:val="single" w:sz="12" w:space="0" w:color="auto"/>
              <w:bottom w:val="single" w:sz="12" w:space="0" w:color="auto"/>
            </w:tcBorders>
            <w:shd w:val="clear" w:color="auto" w:fill="F2F2F2" w:themeFill="background1" w:themeFillShade="F2"/>
            <w:vAlign w:val="center"/>
          </w:tcPr>
          <w:p w14:paraId="0DFA8841" w14:textId="21BEADEC" w:rsidR="00D73142" w:rsidRPr="002E51B2" w:rsidRDefault="00D73142" w:rsidP="00D81968">
            <w:pPr>
              <w:rPr>
                <w:rFonts w:ascii="Verdana" w:hAnsi="Verdana"/>
                <w:sz w:val="18"/>
                <w:szCs w:val="20"/>
              </w:rPr>
            </w:pPr>
            <w:r w:rsidRPr="002E51B2">
              <w:rPr>
                <w:rFonts w:ascii="Verdana" w:hAnsi="Verdana"/>
                <w:sz w:val="18"/>
                <w:szCs w:val="20"/>
              </w:rPr>
              <w:t>15:45-16:00</w:t>
            </w:r>
          </w:p>
        </w:tc>
        <w:tc>
          <w:tcPr>
            <w:tcW w:w="2835" w:type="dxa"/>
            <w:tcBorders>
              <w:top w:val="single" w:sz="12" w:space="0" w:color="auto"/>
              <w:bottom w:val="single" w:sz="12" w:space="0" w:color="auto"/>
            </w:tcBorders>
            <w:shd w:val="clear" w:color="auto" w:fill="F2F2F2" w:themeFill="background1" w:themeFillShade="F2"/>
            <w:vAlign w:val="center"/>
          </w:tcPr>
          <w:p w14:paraId="5F49D81D"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Break</w:t>
            </w:r>
          </w:p>
        </w:tc>
        <w:tc>
          <w:tcPr>
            <w:tcW w:w="1701" w:type="dxa"/>
            <w:tcBorders>
              <w:top w:val="single" w:sz="12" w:space="0" w:color="auto"/>
              <w:bottom w:val="single" w:sz="12" w:space="0" w:color="auto"/>
            </w:tcBorders>
            <w:shd w:val="clear" w:color="auto" w:fill="F2F2F2" w:themeFill="background1" w:themeFillShade="F2"/>
            <w:vAlign w:val="center"/>
          </w:tcPr>
          <w:p w14:paraId="2EF4BAB6" w14:textId="77777777" w:rsidR="00D73142" w:rsidRPr="002E51B2" w:rsidRDefault="00D73142" w:rsidP="00D81968">
            <w:pPr>
              <w:rPr>
                <w:rFonts w:ascii="Verdana" w:hAnsi="Verdana"/>
                <w:color w:val="000000" w:themeColor="text1"/>
                <w:sz w:val="18"/>
                <w:szCs w:val="20"/>
              </w:rPr>
            </w:pPr>
          </w:p>
        </w:tc>
        <w:tc>
          <w:tcPr>
            <w:tcW w:w="1984" w:type="dxa"/>
            <w:tcBorders>
              <w:top w:val="single" w:sz="12" w:space="0" w:color="auto"/>
              <w:bottom w:val="single" w:sz="12" w:space="0" w:color="auto"/>
            </w:tcBorders>
            <w:shd w:val="clear" w:color="auto" w:fill="F2F2F2" w:themeFill="background1" w:themeFillShade="F2"/>
            <w:vAlign w:val="center"/>
          </w:tcPr>
          <w:p w14:paraId="7DAB9A5A" w14:textId="77777777" w:rsidR="00D73142" w:rsidRPr="002E51B2" w:rsidRDefault="00D73142" w:rsidP="00D81968">
            <w:pPr>
              <w:rPr>
                <w:rFonts w:ascii="Verdana" w:hAnsi="Verdana"/>
                <w:color w:val="000000" w:themeColor="text1"/>
                <w:sz w:val="18"/>
                <w:szCs w:val="20"/>
              </w:rPr>
            </w:pPr>
          </w:p>
        </w:tc>
        <w:tc>
          <w:tcPr>
            <w:tcW w:w="5184" w:type="dxa"/>
            <w:tcBorders>
              <w:top w:val="single" w:sz="12" w:space="0" w:color="auto"/>
              <w:bottom w:val="single" w:sz="12" w:space="0" w:color="auto"/>
            </w:tcBorders>
            <w:shd w:val="clear" w:color="auto" w:fill="F2F2F2" w:themeFill="background1" w:themeFillShade="F2"/>
            <w:vAlign w:val="center"/>
          </w:tcPr>
          <w:p w14:paraId="3B4D5E6A" w14:textId="77777777" w:rsidR="00D73142" w:rsidRPr="002E51B2" w:rsidRDefault="00D73142" w:rsidP="00D81968">
            <w:pPr>
              <w:rPr>
                <w:rFonts w:ascii="Verdana" w:hAnsi="Verdana"/>
                <w:color w:val="000000" w:themeColor="text1"/>
                <w:sz w:val="18"/>
                <w:szCs w:val="20"/>
              </w:rPr>
            </w:pPr>
          </w:p>
        </w:tc>
      </w:tr>
      <w:tr w:rsidR="00D73142" w:rsidRPr="002E51B2" w14:paraId="368FDFE3" w14:textId="77777777" w:rsidTr="002E51B2">
        <w:trPr>
          <w:trHeight w:val="291"/>
        </w:trPr>
        <w:tc>
          <w:tcPr>
            <w:tcW w:w="1277" w:type="dxa"/>
            <w:tcBorders>
              <w:top w:val="single" w:sz="12" w:space="0" w:color="auto"/>
              <w:bottom w:val="single" w:sz="12" w:space="0" w:color="auto"/>
            </w:tcBorders>
            <w:vAlign w:val="center"/>
          </w:tcPr>
          <w:p w14:paraId="079A4D63" w14:textId="77777777" w:rsidR="00D73142" w:rsidRPr="002E51B2" w:rsidRDefault="00D73142" w:rsidP="00D81968">
            <w:pPr>
              <w:rPr>
                <w:rFonts w:ascii="Verdana" w:hAnsi="Verdana"/>
                <w:sz w:val="18"/>
                <w:szCs w:val="20"/>
              </w:rPr>
            </w:pPr>
            <w:r w:rsidRPr="002E51B2">
              <w:rPr>
                <w:rFonts w:ascii="Verdana" w:hAnsi="Verdana"/>
                <w:sz w:val="18"/>
                <w:szCs w:val="20"/>
              </w:rPr>
              <w:t>16:00-16:45</w:t>
            </w:r>
          </w:p>
        </w:tc>
        <w:tc>
          <w:tcPr>
            <w:tcW w:w="2835" w:type="dxa"/>
            <w:tcBorders>
              <w:top w:val="single" w:sz="12" w:space="0" w:color="auto"/>
              <w:bottom w:val="single" w:sz="12" w:space="0" w:color="auto"/>
            </w:tcBorders>
            <w:vAlign w:val="center"/>
          </w:tcPr>
          <w:p w14:paraId="45979360" w14:textId="77777777" w:rsidR="00D73142" w:rsidRPr="002E51B2" w:rsidRDefault="00D73142" w:rsidP="00D81968">
            <w:pPr>
              <w:rPr>
                <w:rFonts w:ascii="Verdana" w:hAnsi="Verdana"/>
                <w:bCs/>
                <w:color w:val="000000" w:themeColor="text1"/>
                <w:sz w:val="18"/>
                <w:szCs w:val="20"/>
                <w:lang w:val="en"/>
              </w:rPr>
            </w:pPr>
            <w:r w:rsidRPr="002E51B2">
              <w:rPr>
                <w:rFonts w:ascii="Verdana" w:hAnsi="Verdana"/>
                <w:bCs/>
                <w:color w:val="000000" w:themeColor="text1"/>
                <w:sz w:val="18"/>
                <w:szCs w:val="20"/>
                <w:lang w:val="en"/>
              </w:rPr>
              <w:t>Panel discussion of complex cases</w:t>
            </w:r>
          </w:p>
        </w:tc>
        <w:tc>
          <w:tcPr>
            <w:tcW w:w="8869" w:type="dxa"/>
            <w:gridSpan w:val="3"/>
            <w:tcBorders>
              <w:top w:val="single" w:sz="12" w:space="0" w:color="auto"/>
              <w:bottom w:val="single" w:sz="12" w:space="0" w:color="auto"/>
            </w:tcBorders>
            <w:vAlign w:val="center"/>
          </w:tcPr>
          <w:p w14:paraId="62FD9D7E" w14:textId="13E39D05" w:rsidR="00D73142" w:rsidRPr="002E51B2" w:rsidRDefault="00D73142" w:rsidP="002E51B2">
            <w:pPr>
              <w:rPr>
                <w:rFonts w:ascii="Verdana" w:hAnsi="Verdana"/>
                <w:color w:val="000000" w:themeColor="text1"/>
                <w:sz w:val="18"/>
                <w:szCs w:val="20"/>
              </w:rPr>
            </w:pPr>
            <w:r w:rsidRPr="002E51B2">
              <w:rPr>
                <w:rFonts w:ascii="Verdana" w:hAnsi="Verdana"/>
                <w:color w:val="000000" w:themeColor="text1"/>
                <w:sz w:val="18"/>
                <w:szCs w:val="20"/>
              </w:rPr>
              <w:t xml:space="preserve">Panel: Tina Hsu (Medical Oncology, University of Ottawa), </w:t>
            </w:r>
            <w:r w:rsidR="002E51B2" w:rsidRPr="002E51B2">
              <w:rPr>
                <w:rFonts w:ascii="Verdana" w:hAnsi="Verdana"/>
                <w:color w:val="000000" w:themeColor="text1"/>
                <w:sz w:val="18"/>
                <w:szCs w:val="20"/>
              </w:rPr>
              <w:br/>
            </w:r>
            <w:r w:rsidRPr="002E51B2">
              <w:rPr>
                <w:rFonts w:ascii="Verdana" w:hAnsi="Verdana"/>
                <w:color w:val="000000" w:themeColor="text1"/>
                <w:sz w:val="18"/>
                <w:szCs w:val="20"/>
              </w:rPr>
              <w:t xml:space="preserve">Rana </w:t>
            </w:r>
            <w:proofErr w:type="spellStart"/>
            <w:r w:rsidRPr="002E51B2">
              <w:rPr>
                <w:rFonts w:ascii="Verdana" w:hAnsi="Verdana"/>
                <w:color w:val="000000" w:themeColor="text1"/>
                <w:sz w:val="18"/>
                <w:szCs w:val="20"/>
              </w:rPr>
              <w:t>Jin</w:t>
            </w:r>
            <w:proofErr w:type="spellEnd"/>
            <w:r w:rsidRPr="002E51B2">
              <w:rPr>
                <w:rFonts w:ascii="Verdana" w:hAnsi="Verdana"/>
                <w:color w:val="000000" w:themeColor="text1"/>
                <w:sz w:val="18"/>
                <w:szCs w:val="20"/>
              </w:rPr>
              <w:t xml:space="preserve"> (Clinical Nurse Specialist, Toronto), Carlo </w:t>
            </w:r>
            <w:proofErr w:type="spellStart"/>
            <w:r w:rsidRPr="002E51B2">
              <w:rPr>
                <w:rFonts w:ascii="Verdana" w:hAnsi="Verdana"/>
                <w:color w:val="000000" w:themeColor="text1"/>
                <w:sz w:val="18"/>
                <w:szCs w:val="20"/>
              </w:rPr>
              <w:t>DeAngelis</w:t>
            </w:r>
            <w:proofErr w:type="spellEnd"/>
            <w:r w:rsidRPr="002E51B2">
              <w:rPr>
                <w:rFonts w:ascii="Verdana" w:hAnsi="Verdana"/>
                <w:color w:val="000000" w:themeColor="text1"/>
                <w:sz w:val="18"/>
                <w:szCs w:val="20"/>
              </w:rPr>
              <w:t xml:space="preserve"> </w:t>
            </w:r>
            <w:r w:rsidR="002E51B2" w:rsidRPr="002E51B2">
              <w:rPr>
                <w:rFonts w:ascii="Verdana" w:hAnsi="Verdana"/>
                <w:color w:val="000000" w:themeColor="text1"/>
                <w:sz w:val="18"/>
                <w:szCs w:val="20"/>
              </w:rPr>
              <w:br/>
            </w:r>
            <w:r w:rsidRPr="002E51B2">
              <w:rPr>
                <w:rFonts w:ascii="Verdana" w:hAnsi="Verdana"/>
                <w:color w:val="000000" w:themeColor="text1"/>
                <w:sz w:val="18"/>
                <w:szCs w:val="20"/>
              </w:rPr>
              <w:t xml:space="preserve">(Oncology Pharmacy, University of Toronto), </w:t>
            </w:r>
            <w:r w:rsidR="00FC57D8" w:rsidRPr="002E51B2">
              <w:rPr>
                <w:rFonts w:ascii="Verdana" w:hAnsi="Verdana"/>
                <w:color w:val="000000" w:themeColor="text1"/>
                <w:sz w:val="18"/>
                <w:szCs w:val="20"/>
              </w:rPr>
              <w:br/>
            </w:r>
            <w:r w:rsidRPr="002E51B2">
              <w:rPr>
                <w:rFonts w:ascii="Verdana" w:hAnsi="Verdana"/>
                <w:color w:val="000000" w:themeColor="text1"/>
                <w:sz w:val="18"/>
                <w:szCs w:val="20"/>
              </w:rPr>
              <w:t>Shabbir Alibhai (Geriatrics, University of Toronto)</w:t>
            </w:r>
          </w:p>
        </w:tc>
      </w:tr>
      <w:tr w:rsidR="00FC57D8" w:rsidRPr="002E51B2" w14:paraId="12AF03CE" w14:textId="77777777" w:rsidTr="002E51B2">
        <w:trPr>
          <w:trHeight w:val="291"/>
        </w:trPr>
        <w:tc>
          <w:tcPr>
            <w:tcW w:w="1277" w:type="dxa"/>
            <w:tcBorders>
              <w:top w:val="single" w:sz="12" w:space="0" w:color="auto"/>
            </w:tcBorders>
            <w:shd w:val="clear" w:color="auto" w:fill="F2F2F2" w:themeFill="background1" w:themeFillShade="F2"/>
            <w:vAlign w:val="center"/>
          </w:tcPr>
          <w:p w14:paraId="488CDDA2" w14:textId="77777777" w:rsidR="00D73142" w:rsidRPr="002E51B2" w:rsidRDefault="00D73142" w:rsidP="00D81968">
            <w:pPr>
              <w:rPr>
                <w:rFonts w:ascii="Verdana" w:hAnsi="Verdana"/>
                <w:sz w:val="18"/>
                <w:szCs w:val="20"/>
              </w:rPr>
            </w:pPr>
            <w:r w:rsidRPr="002E51B2">
              <w:rPr>
                <w:rFonts w:ascii="Verdana" w:hAnsi="Verdana"/>
                <w:sz w:val="18"/>
                <w:szCs w:val="20"/>
              </w:rPr>
              <w:t>16:45-17:00</w:t>
            </w:r>
          </w:p>
        </w:tc>
        <w:tc>
          <w:tcPr>
            <w:tcW w:w="2835" w:type="dxa"/>
            <w:tcBorders>
              <w:top w:val="single" w:sz="12" w:space="0" w:color="auto"/>
            </w:tcBorders>
            <w:shd w:val="clear" w:color="auto" w:fill="F2F2F2" w:themeFill="background1" w:themeFillShade="F2"/>
            <w:vAlign w:val="center"/>
          </w:tcPr>
          <w:p w14:paraId="5F1F6558" w14:textId="77777777" w:rsidR="00D73142" w:rsidRPr="002E51B2" w:rsidRDefault="00D73142" w:rsidP="00D81968">
            <w:pPr>
              <w:rPr>
                <w:rFonts w:ascii="Verdana" w:hAnsi="Verdana"/>
                <w:color w:val="000000" w:themeColor="text1"/>
                <w:sz w:val="18"/>
                <w:szCs w:val="20"/>
              </w:rPr>
            </w:pPr>
            <w:r w:rsidRPr="002E51B2">
              <w:rPr>
                <w:rFonts w:ascii="Verdana" w:hAnsi="Verdana"/>
                <w:color w:val="000000" w:themeColor="text1"/>
                <w:sz w:val="18"/>
                <w:szCs w:val="20"/>
              </w:rPr>
              <w:t>Wrap-up and Evaluations</w:t>
            </w:r>
          </w:p>
        </w:tc>
        <w:tc>
          <w:tcPr>
            <w:tcW w:w="1701" w:type="dxa"/>
            <w:tcBorders>
              <w:top w:val="single" w:sz="12" w:space="0" w:color="auto"/>
            </w:tcBorders>
            <w:shd w:val="clear" w:color="auto" w:fill="F2F2F2" w:themeFill="background1" w:themeFillShade="F2"/>
            <w:vAlign w:val="center"/>
          </w:tcPr>
          <w:p w14:paraId="527FC479" w14:textId="77777777" w:rsidR="00D73142" w:rsidRPr="002E51B2" w:rsidRDefault="00D73142" w:rsidP="00D81968">
            <w:pPr>
              <w:rPr>
                <w:rFonts w:ascii="Verdana" w:hAnsi="Verdana"/>
                <w:color w:val="000000" w:themeColor="text1"/>
                <w:sz w:val="18"/>
                <w:szCs w:val="20"/>
              </w:rPr>
            </w:pPr>
          </w:p>
        </w:tc>
        <w:tc>
          <w:tcPr>
            <w:tcW w:w="1984" w:type="dxa"/>
            <w:tcBorders>
              <w:top w:val="single" w:sz="12" w:space="0" w:color="auto"/>
            </w:tcBorders>
            <w:shd w:val="clear" w:color="auto" w:fill="F2F2F2" w:themeFill="background1" w:themeFillShade="F2"/>
            <w:vAlign w:val="center"/>
          </w:tcPr>
          <w:p w14:paraId="0AA13831" w14:textId="77777777" w:rsidR="00D73142" w:rsidRPr="002E51B2" w:rsidRDefault="00D73142" w:rsidP="00D81968">
            <w:pPr>
              <w:rPr>
                <w:rFonts w:ascii="Verdana" w:hAnsi="Verdana"/>
                <w:color w:val="000000" w:themeColor="text1"/>
                <w:sz w:val="18"/>
                <w:szCs w:val="20"/>
              </w:rPr>
            </w:pPr>
          </w:p>
        </w:tc>
        <w:tc>
          <w:tcPr>
            <w:tcW w:w="5184" w:type="dxa"/>
            <w:tcBorders>
              <w:top w:val="single" w:sz="12" w:space="0" w:color="auto"/>
            </w:tcBorders>
            <w:shd w:val="clear" w:color="auto" w:fill="F2F2F2" w:themeFill="background1" w:themeFillShade="F2"/>
            <w:vAlign w:val="center"/>
          </w:tcPr>
          <w:p w14:paraId="65F5684B" w14:textId="77777777" w:rsidR="00D73142" w:rsidRPr="002E51B2" w:rsidRDefault="00D73142" w:rsidP="00D81968">
            <w:pPr>
              <w:rPr>
                <w:rFonts w:ascii="Verdana" w:hAnsi="Verdana"/>
                <w:color w:val="000000" w:themeColor="text1"/>
                <w:sz w:val="18"/>
                <w:szCs w:val="20"/>
              </w:rPr>
            </w:pPr>
          </w:p>
        </w:tc>
      </w:tr>
    </w:tbl>
    <w:p w14:paraId="6EADF65D" w14:textId="77777777" w:rsidR="002E51B2" w:rsidRDefault="002E51B2" w:rsidP="000E1167">
      <w:pPr>
        <w:spacing w:line="240" w:lineRule="auto"/>
        <w:ind w:left="360"/>
        <w:jc w:val="both"/>
        <w:rPr>
          <w:rFonts w:ascii="Verdana" w:eastAsia="Calibri" w:hAnsi="Verdana"/>
          <w:b/>
          <w:sz w:val="20"/>
        </w:rPr>
      </w:pPr>
    </w:p>
    <w:p w14:paraId="6B0E1B33" w14:textId="77777777" w:rsidR="002E51B2" w:rsidRDefault="002E51B2" w:rsidP="000E1167">
      <w:pPr>
        <w:spacing w:line="240" w:lineRule="auto"/>
        <w:ind w:left="360"/>
        <w:jc w:val="both"/>
        <w:rPr>
          <w:rFonts w:ascii="Verdana" w:eastAsia="Calibri" w:hAnsi="Verdana"/>
          <w:b/>
          <w:sz w:val="20"/>
        </w:rPr>
      </w:pPr>
    </w:p>
    <w:p w14:paraId="190229FB" w14:textId="77777777" w:rsidR="002E51B2" w:rsidRDefault="002E51B2" w:rsidP="000E1167">
      <w:pPr>
        <w:spacing w:line="240" w:lineRule="auto"/>
        <w:ind w:left="360"/>
        <w:jc w:val="both"/>
        <w:rPr>
          <w:rFonts w:ascii="Verdana" w:eastAsia="Calibri" w:hAnsi="Verdana"/>
          <w:b/>
          <w:sz w:val="20"/>
        </w:rPr>
      </w:pPr>
    </w:p>
    <w:p w14:paraId="03114BEB" w14:textId="77777777" w:rsidR="002E51B2" w:rsidRDefault="002E51B2" w:rsidP="000E1167">
      <w:pPr>
        <w:spacing w:line="240" w:lineRule="auto"/>
        <w:ind w:left="360"/>
        <w:jc w:val="both"/>
        <w:rPr>
          <w:rFonts w:ascii="Verdana" w:eastAsia="Calibri" w:hAnsi="Verdana"/>
          <w:b/>
          <w:sz w:val="20"/>
        </w:rPr>
      </w:pPr>
    </w:p>
    <w:p w14:paraId="499A1FA8" w14:textId="77777777" w:rsidR="002E51B2" w:rsidRDefault="002E51B2" w:rsidP="000E1167">
      <w:pPr>
        <w:spacing w:line="240" w:lineRule="auto"/>
        <w:ind w:left="360"/>
        <w:jc w:val="both"/>
        <w:rPr>
          <w:rFonts w:ascii="Verdana" w:eastAsia="Calibri" w:hAnsi="Verdana"/>
          <w:b/>
          <w:sz w:val="20"/>
        </w:rPr>
      </w:pPr>
    </w:p>
    <w:p w14:paraId="019A8201" w14:textId="77777777" w:rsidR="000E1167" w:rsidRPr="000E1167" w:rsidRDefault="000E1167" w:rsidP="000E1167">
      <w:pPr>
        <w:spacing w:line="240" w:lineRule="auto"/>
        <w:ind w:left="360"/>
        <w:jc w:val="both"/>
        <w:rPr>
          <w:rFonts w:ascii="Verdana" w:eastAsia="Calibri" w:hAnsi="Verdana"/>
          <w:bCs/>
          <w:sz w:val="20"/>
        </w:rPr>
      </w:pPr>
      <w:r w:rsidRPr="000E1167">
        <w:rPr>
          <w:rFonts w:ascii="Verdana" w:eastAsia="Calibri" w:hAnsi="Verdana"/>
          <w:b/>
          <w:sz w:val="20"/>
        </w:rPr>
        <w:lastRenderedPageBreak/>
        <w:t>Session 1: Geriatric Oncology – It’s not just about the cancer</w:t>
      </w:r>
    </w:p>
    <w:p w14:paraId="1F7A048E" w14:textId="77777777" w:rsidR="000E1167" w:rsidRPr="000E1167" w:rsidRDefault="000E1167" w:rsidP="000E1167">
      <w:pPr>
        <w:pStyle w:val="ListParagraph"/>
        <w:numPr>
          <w:ilvl w:val="0"/>
          <w:numId w:val="5"/>
        </w:numPr>
        <w:spacing w:after="0" w:line="240" w:lineRule="auto"/>
        <w:jc w:val="both"/>
        <w:rPr>
          <w:rFonts w:ascii="Verdana" w:eastAsia="Calibri" w:hAnsi="Verdana"/>
          <w:i/>
          <w:iCs/>
          <w:sz w:val="20"/>
        </w:rPr>
      </w:pPr>
      <w:r w:rsidRPr="000E1167">
        <w:rPr>
          <w:rFonts w:ascii="Verdana" w:eastAsia="Calibri" w:hAnsi="Verdana"/>
          <w:i/>
          <w:iCs/>
          <w:sz w:val="20"/>
        </w:rPr>
        <w:t>Objective 1: Discuss the relationship between aging and oncology.</w:t>
      </w:r>
    </w:p>
    <w:p w14:paraId="270D8B2A" w14:textId="77777777" w:rsidR="000E1167" w:rsidRPr="000E1167" w:rsidRDefault="000E1167" w:rsidP="000E1167">
      <w:pPr>
        <w:pStyle w:val="ListParagraph"/>
        <w:numPr>
          <w:ilvl w:val="0"/>
          <w:numId w:val="5"/>
        </w:numPr>
        <w:spacing w:after="0" w:line="240" w:lineRule="auto"/>
        <w:jc w:val="both"/>
        <w:rPr>
          <w:rFonts w:ascii="Verdana" w:eastAsia="Calibri" w:hAnsi="Verdana"/>
          <w:i/>
          <w:iCs/>
          <w:sz w:val="20"/>
        </w:rPr>
      </w:pPr>
      <w:r w:rsidRPr="000E1167">
        <w:rPr>
          <w:rFonts w:ascii="Verdana" w:eastAsia="Calibri" w:hAnsi="Verdana"/>
          <w:i/>
          <w:iCs/>
          <w:sz w:val="20"/>
        </w:rPr>
        <w:t>Objective 2: Review how the construct of frailty impacts cancer management.</w:t>
      </w:r>
    </w:p>
    <w:p w14:paraId="4DA0857D" w14:textId="77777777" w:rsidR="000E1167" w:rsidRPr="000E1167" w:rsidRDefault="000E1167" w:rsidP="000E1167">
      <w:pPr>
        <w:pStyle w:val="ListParagraph"/>
        <w:numPr>
          <w:ilvl w:val="0"/>
          <w:numId w:val="5"/>
        </w:numPr>
        <w:spacing w:after="0" w:line="240" w:lineRule="auto"/>
        <w:jc w:val="both"/>
        <w:rPr>
          <w:rFonts w:ascii="Verdana" w:eastAsia="Calibri" w:hAnsi="Verdana"/>
          <w:i/>
          <w:iCs/>
          <w:sz w:val="20"/>
        </w:rPr>
      </w:pPr>
      <w:r w:rsidRPr="000E1167">
        <w:rPr>
          <w:rFonts w:ascii="Verdana" w:eastAsia="Calibri" w:hAnsi="Verdana"/>
          <w:i/>
          <w:iCs/>
          <w:sz w:val="20"/>
        </w:rPr>
        <w:t>Objective 3: Evaluate the evidence for geriatric assessment in older adults with cancer.</w:t>
      </w:r>
    </w:p>
    <w:p w14:paraId="22D14B38" w14:textId="77777777" w:rsidR="002E51B2" w:rsidRDefault="002E51B2" w:rsidP="000E1167">
      <w:pPr>
        <w:spacing w:line="240" w:lineRule="auto"/>
        <w:jc w:val="both"/>
        <w:rPr>
          <w:rFonts w:ascii="Verdana" w:eastAsia="Calibri" w:hAnsi="Verdana"/>
          <w:sz w:val="20"/>
        </w:rPr>
      </w:pPr>
    </w:p>
    <w:p w14:paraId="5666E121" w14:textId="0B82834F" w:rsidR="000E1167" w:rsidRPr="000E1167" w:rsidRDefault="000E1167" w:rsidP="000E1167">
      <w:pPr>
        <w:spacing w:line="240" w:lineRule="auto"/>
        <w:jc w:val="both"/>
        <w:rPr>
          <w:rFonts w:ascii="Verdana" w:eastAsia="Calibri" w:hAnsi="Verdana"/>
          <w:i/>
          <w:iCs/>
          <w:sz w:val="20"/>
        </w:rPr>
      </w:pPr>
      <w:r w:rsidRPr="000E1167">
        <w:rPr>
          <w:rFonts w:ascii="Verdana" w:eastAsia="Calibri" w:hAnsi="Verdana"/>
          <w:sz w:val="20"/>
        </w:rPr>
        <w:t xml:space="preserve">Camilla Wong, MD </w:t>
      </w:r>
      <w:proofErr w:type="spellStart"/>
      <w:r w:rsidRPr="000E1167">
        <w:rPr>
          <w:rFonts w:ascii="Verdana" w:eastAsia="Calibri" w:hAnsi="Verdana"/>
          <w:sz w:val="20"/>
        </w:rPr>
        <w:t>MHSc</w:t>
      </w:r>
      <w:proofErr w:type="spellEnd"/>
      <w:r w:rsidRPr="000E1167">
        <w:rPr>
          <w:rFonts w:ascii="Verdana" w:eastAsia="Calibri" w:hAnsi="Verdana"/>
          <w:sz w:val="20"/>
        </w:rPr>
        <w:t xml:space="preserve">, opened the day by setting the stage highlighting the aging population and how this impacts cancer incidence, as well as cancer care. She summarized the myriad changes that occur with aging and how </w:t>
      </w:r>
      <w:proofErr w:type="spellStart"/>
      <w:r w:rsidRPr="000E1167">
        <w:rPr>
          <w:rFonts w:ascii="Verdana" w:eastAsia="Calibri" w:hAnsi="Verdana"/>
          <w:sz w:val="20"/>
        </w:rPr>
        <w:t>multimorbidity</w:t>
      </w:r>
      <w:proofErr w:type="spellEnd"/>
      <w:r w:rsidRPr="000E1167">
        <w:rPr>
          <w:rFonts w:ascii="Verdana" w:eastAsia="Calibri" w:hAnsi="Verdana"/>
          <w:sz w:val="20"/>
        </w:rPr>
        <w:t xml:space="preserve"> impacts care. For older adults, care must be contextualized by </w:t>
      </w:r>
      <w:proofErr w:type="spellStart"/>
      <w:r w:rsidRPr="000E1167">
        <w:rPr>
          <w:rFonts w:ascii="Verdana" w:eastAsia="Calibri" w:hAnsi="Verdana"/>
          <w:sz w:val="20"/>
        </w:rPr>
        <w:t>multimorbidity</w:t>
      </w:r>
      <w:proofErr w:type="spellEnd"/>
      <w:r w:rsidRPr="000E1167">
        <w:rPr>
          <w:rFonts w:ascii="Verdana" w:eastAsia="Calibri" w:hAnsi="Verdana"/>
          <w:sz w:val="20"/>
        </w:rPr>
        <w:t>, geriatric syndromes, frailty, polypharmacy, psychosocial complexity, and disease dominance. Dr. Wong highlighted that frailty is a state of high vulnerability to adverse healthcare outcomes including mortality and poor treatment tolerance.</w:t>
      </w:r>
      <w:r w:rsidRPr="000E1167">
        <w:rPr>
          <w:rFonts w:ascii="Verdana" w:eastAsia="Calibri" w:hAnsi="Verdana"/>
          <w:sz w:val="20"/>
        </w:rPr>
        <w:fldChar w:fldCharType="begin" w:fldLock="1"/>
      </w:r>
      <w:r w:rsidRPr="000E1167">
        <w:rPr>
          <w:rFonts w:ascii="Verdana" w:eastAsia="Calibri" w:hAnsi="Verdana"/>
          <w:sz w:val="20"/>
        </w:rPr>
        <w:instrText>ADDIN CSL_CITATION {"citationItems":[{"id":"ITEM-1","itemData":{"ISSN":"0140-6736","author":[{"dropping-particle":"","family":"Clegg","given":"Andrew","non-dropping-particle":"","parse-names":false,"suffix":""},{"dropping-particle":"","family":"Young","given":"John","non-dropping-particle":"","parse-names":false,"suffix":""},{"dropping-particle":"","family":"Iliffe","given":"Steve","non-dropping-particle":"","parse-names":false,"suffix":""},{"dropping-particle":"","family":"Rikkert","given":"Marcel Olde","non-dropping-particle":"","parse-names":false,"suffix":""},{"dropping-particle":"","family":"Rockwood","given":"Kenneth","non-dropping-particle":"","parse-names":false,"suffix":""}],"container-title":"The lancet","id":"ITEM-1","issue":"9868","issued":{"date-parts":[["2013"]]},"page":"752-762","publisher":"Elsevier","title":"Frailty in elderly people","type":"article-journal","volume":"381"},"uris":["http://www.mendeley.com/documents/?uuid=c4f11099-abbc-4bee-9e92-d46ad0ace743"]},{"id":"ITEM-2","itemData":{"ISSN":"1569-8041","author":[{"dropping-particle":"","family":"Handforth","given":"Clegg","non-dropping-particle":"","parse-names":false,"suffix":""},{"dropping-particle":"","family":"Clegg","given":"A","non-dropping-particle":"","parse-names":false,"suffix":""},{"dropping-particle":"","family":"Young","given":"C","non-dropping-particle":"","parse-names":false,"suffix":""},{"dropping-particle":"","family":"Simpkins","given":"S","non-dropping-particle":"","parse-names":false,"suffix":""},{"dropping-particle":"","family":"Seymour","given":"M T","non-dropping-particle":"","parse-names":false,"suffix":""},{"dropping-particle":"","family":"Selby","given":"P J","non-dropping-particle":"","parse-names":false,"suffix":""},{"dropping-particle":"","family":"Young","given":"J","non-dropping-particle":"","parse-names":false,"suffix":""}],"container-title":"Annals of oncology","id":"ITEM-2","issue":"6","issued":{"date-parts":[["2015"]]},"page":"1091-1101","publisher":"Oxford University Press","title":"The prevalence and outcomes of frailty in older cancer patients: a systematic review","type":"article-journal","volume":"26"},"uris":["http://www.mendeley.com/documents/?uuid=07e2a2fa-92dd-4872-9d97-1058c5afe04c"]}],"mendeley":{"formattedCitation":"&lt;sup&gt;8,9&lt;/sup&gt;","plainTextFormattedCitation":"8,9","previouslyFormattedCitation":"&lt;sup&gt;8,9&lt;/sup&gt;"},"properties":{"noteIndex":0},"schema":"https://github.com/citation-style-language/schema/raw/master/csl-citation.json"}</w:instrText>
      </w:r>
      <w:r w:rsidRPr="000E1167">
        <w:rPr>
          <w:rFonts w:ascii="Verdana" w:eastAsia="Calibri" w:hAnsi="Verdana"/>
          <w:sz w:val="20"/>
        </w:rPr>
        <w:fldChar w:fldCharType="separate"/>
      </w:r>
      <w:r w:rsidRPr="000E1167">
        <w:rPr>
          <w:rFonts w:ascii="Verdana" w:eastAsia="Calibri" w:hAnsi="Verdana"/>
          <w:noProof/>
          <w:sz w:val="20"/>
          <w:vertAlign w:val="superscript"/>
        </w:rPr>
        <w:t>8,9</w:t>
      </w:r>
      <w:r w:rsidRPr="000E1167">
        <w:rPr>
          <w:rFonts w:ascii="Verdana" w:eastAsia="Calibri" w:hAnsi="Verdana"/>
          <w:sz w:val="20"/>
        </w:rPr>
        <w:fldChar w:fldCharType="end"/>
      </w:r>
      <w:r w:rsidRPr="000E1167">
        <w:rPr>
          <w:rFonts w:ascii="Verdana" w:eastAsia="Calibri" w:hAnsi="Verdana"/>
          <w:sz w:val="20"/>
        </w:rPr>
        <w:t xml:space="preserve"> Crucially, she highlighted the importance of moving from “What is the matter?” to “What matters to [patients]?” to help frame treatment decisions; what “matters most” is the fifth M in the Geriatric 5Ms framework.</w:t>
      </w:r>
      <w:r w:rsidRPr="000E1167">
        <w:rPr>
          <w:rFonts w:ascii="Verdana" w:eastAsia="Calibri" w:hAnsi="Verdana"/>
          <w:sz w:val="20"/>
        </w:rPr>
        <w:fldChar w:fldCharType="begin" w:fldLock="1"/>
      </w:r>
      <w:r w:rsidRPr="000E1167">
        <w:rPr>
          <w:rFonts w:ascii="Verdana" w:eastAsia="Calibri" w:hAnsi="Verdana"/>
          <w:sz w:val="20"/>
        </w:rPr>
        <w:instrText>ADDIN CSL_CITATION {"citationItems":[{"id":"ITEM-1","itemData":{"ISSN":"0008-350X","author":[{"dropping-particle":"","family":"Molnar","given":"Frank","non-dropping-particle":"","parse-names":false,"suffix":""},{"dropping-particle":"","family":"Frank","given":"Christopher C","non-dropping-particle":"","parse-names":false,"suffix":""}],"container-title":"Canadian Family Physician","id":"ITEM-1","issue":"1","issued":{"date-parts":[["2019"]]},"page":"39","publisher":"The College of Family Physicians of Canada","title":"Optimizing geriatric care with the GERIATRIC 5Ms","type":"article-journal","volume":"65"},"uris":["http://www.mendeley.com/documents/?uuid=de76a239-1c18-4dda-b56f-e4e8c136954a"]}],"mendeley":{"formattedCitation":"&lt;sup&gt;10&lt;/sup&gt;","plainTextFormattedCitation":"10"},"properties":{"noteIndex":0},"schema":"https://github.com/citation-style-language/schema/raw/master/csl-citation.json"}</w:instrText>
      </w:r>
      <w:r w:rsidRPr="000E1167">
        <w:rPr>
          <w:rFonts w:ascii="Verdana" w:eastAsia="Calibri" w:hAnsi="Verdana"/>
          <w:sz w:val="20"/>
        </w:rPr>
        <w:fldChar w:fldCharType="separate"/>
      </w:r>
      <w:r w:rsidRPr="000E1167">
        <w:rPr>
          <w:rFonts w:ascii="Verdana" w:eastAsia="Calibri" w:hAnsi="Verdana"/>
          <w:noProof/>
          <w:sz w:val="20"/>
          <w:vertAlign w:val="superscript"/>
        </w:rPr>
        <w:t>10</w:t>
      </w:r>
      <w:r w:rsidRPr="000E1167">
        <w:rPr>
          <w:rFonts w:ascii="Verdana" w:eastAsia="Calibri" w:hAnsi="Verdana"/>
          <w:sz w:val="20"/>
        </w:rPr>
        <w:fldChar w:fldCharType="end"/>
      </w:r>
      <w:r w:rsidRPr="000E1167">
        <w:rPr>
          <w:rFonts w:ascii="Verdana" w:eastAsia="Calibri" w:hAnsi="Verdana"/>
          <w:sz w:val="20"/>
        </w:rPr>
        <w:t xml:space="preserve">  </w:t>
      </w:r>
    </w:p>
    <w:p w14:paraId="43D78D53" w14:textId="77777777" w:rsidR="000E1167" w:rsidRDefault="000E1167" w:rsidP="000E1167">
      <w:pPr>
        <w:spacing w:line="240" w:lineRule="auto"/>
        <w:jc w:val="both"/>
        <w:rPr>
          <w:rFonts w:ascii="Verdana" w:eastAsia="Calibri" w:hAnsi="Verdana"/>
          <w:sz w:val="20"/>
        </w:rPr>
      </w:pPr>
      <w:r w:rsidRPr="000E1167">
        <w:rPr>
          <w:rFonts w:ascii="Verdana" w:eastAsia="Calibri" w:hAnsi="Verdana"/>
          <w:sz w:val="20"/>
        </w:rPr>
        <w:t>Dr. Wong introduced the concept of comprehensive geriatric assessment (CGA) and outlined the evidence for CGA in oncology, such as identifying deficits not otherwise detected, optimizing non-oncologic domains, increasing the precision of prognostication, influencing chemotherapy intensity, and possibly improving treatment tolerance and completion.</w:t>
      </w:r>
      <w:r w:rsidRPr="000E1167">
        <w:rPr>
          <w:rFonts w:ascii="Verdana" w:eastAsia="Calibri" w:hAnsi="Verdana"/>
          <w:sz w:val="20"/>
        </w:rPr>
        <w:fldChar w:fldCharType="begin" w:fldLock="1"/>
      </w:r>
      <w:r w:rsidRPr="000E1167">
        <w:rPr>
          <w:rFonts w:ascii="Verdana" w:eastAsia="Calibri" w:hAnsi="Verdana"/>
          <w:sz w:val="20"/>
        </w:rPr>
        <w:instrText>ADDIN CSL_CITATION {"citationItems":[{"id":"ITEM-1","itemData":{"DOI":"10.1016/j.jgo.2018.03.014","ISSN":"1879-4076 (Electronic)","PMID":"29631898","abstract":"AIM: The aim of this systematic review is to summarise all available data on the  effect of a geriatric evaluation on the multidisciplinary treatment of older cancer patients, focussing on oncologic treatment decisions, the implementation of non-oncologic interventions and the impact on treatment outcome. METHODS: A systematic search in MEDLINE and EMBASE for studies on the effect of a geriatric evaluation on oncologic and non-oncologic treatment decisions and outcome for older cancer patients. RESULTS: 36 publications from 35 studies were included. After a geriatric evaluation, the oncologic treatment plan was altered in a median of 28% of patients (range 8-54%), primarily to a less intensive treatment option. Non-oncologic interventions were recommended in a median of 72% of patients (range 26-100%), most commonly involving social issues (39%), nutritional status (32%) and polypharmacy (31%). Effect on treatment outcome was varying, with a trend towards a positive effect on treatment completion (positive effect in 75% of studies) and treatment-related toxicity/ complications (55% of studies). CONCLUSION: A geriatric evaluation affects oncologic and non-oncologic treatment and appears to improve treatment tolerance and completion for older cancer patients. Fine-tuning the decision-making process for this growing patient population will require more specific and robust data on the effect of a geriatric evaluation on relevant oncologic and non-oncologic outcomes such as survival and quality of life.","author":[{"dropping-particle":"","family":"Hamaker","given":"Marije E","non-dropping-particle":"","parse-names":false,"suffix":""},{"dropping-particle":"","family":"Molder","given":"Marthe","non-dropping-particle":"Te","parse-names":false,"suffix":""},{"dropping-particle":"","family":"Thielen","given":"Noortje","non-dropping-particle":"","parse-names":false,"suffix":""},{"dropping-particle":"","family":"Munster","given":"Barbara C","non-dropping-particle":"van","parse-names":false,"suffix":""},{"dropping-particle":"","family":"Schiphorst","given":"Anandi H","non-dropping-particle":"","parse-names":false,"suffix":""},{"dropping-particle":"","family":"Huis","given":"Lieke H","non-dropping-particle":"van","parse-names":false,"suffix":""}],"container-title":"Journal of geriatric oncology","id":"ITEM-1","issue":"5","issued":{"date-parts":[["2018","9"]]},"language":"eng","page":"430-440","publisher-place":"Netherlands","title":"The effect of a geriatric evaluation on treatment decisions and outcome for older cancer patients - A systematic review.","type":"article-journal","volume":"9"},"uris":["http://www.mendeley.com/documents/?uuid=fc54549d-9a70-456c-bc13-b8da52c81c7f"]},{"id":"ITEM-2","itemData":{"ISSN":"0284-186X","author":[{"dropping-particle":"","family":"Hamaker","given":"Marije E","non-dropping-particle":"","parse-names":false,"suffix":""},{"dropping-particle":"","family":"Schiphorst","given":"Anandi H","non-dropping-particle":"","parse-names":false,"suffix":""},{"dropping-particle":"","family":"Bokkel Huinink","given":"Daan","non-dropping-particle":"ten","parse-names":false,"suffix":""},{"dropping-particle":"","family":"Schaar","given":"Cees","non-dropping-particle":"","parse-names":false,"suffix":""},{"dropping-particle":"","family":"Munster","given":"Barbara C","non-dropping-particle":"van","parse-names":false,"suffix":""}],"container-title":"Acta Oncologica","id":"ITEM-2","issue":"3","issued":{"date-parts":[["2014"]]},"page":"289-296","publisher":"Taylor &amp; Francis","title":"The effect of a geriatric evaluation on treatment decisions for older cancer patients–a systematic review","type":"article-journal","volume":"53"},"uris":["http://www.mendeley.com/documents/?uuid=87657b49-2023-4010-9c73-fde7f806094a"]},{"id":"ITEM-3","itemData":{"author":[{"dropping-particle":"","family":"Hurria","given":"Arti","non-dropping-particle":"","parse-names":false,"suffix":""},{"dropping-particle":"","family":"Mohile","given":"Supriya","non-dropping-particle":"","parse-names":false,"suffix":""},{"dropping-particle":"","family":"Gajra","given":"Ajeet","non-dropping-particle":"","parse-names":false,"suffix":""},{"dropping-particle":"","family":"Klepin","given":"Heidi","non-dropping-particle":"","parse-names":false,"suffix":""},{"dropping-particle":"","family":"Muss","given":"Hyman","non-dropping-particle":"","parse-names":false,"suffix":""},{"dropping-particle":"","family":"Chapman","given":"Andrew","non-dropping-particle":"","parse-names":false,"suffix":""},{"dropping-particle":"","family":"Feng","given":"Tao","non-dropping-particle":"","parse-names":false,"suffix":""},{"dropping-particle":"","family":"Smith","given":"David","non-dropping-particle":"","parse-names":false,"suffix":""},{"dropping-particle":"","family":"Sun","given":"Can-Lan","non-dropping-particle":"","parse-names":false,"suffix":""},{"dropping-particle":"","family":"Glas","given":"Nienke","non-dropping-particle":"De","parse-names":false,"suffix":""}],"container-title":"Journal of Clinical Oncology","id":"ITEM-3","issue":"20","issued":{"date-parts":[["2016"]]},"page":"2366","publisher":"American Society of Clinical Oncology","title":"Validation of a prediction tool for chemotherapy toxicity in older adults with cancer","type":"article-journal","volume":"34"},"uris":["http://www.mendeley.com/documents/?uuid=9b3c2097-5d0f-437b-be09-4752dde025de"]}],"mendeley":{"formattedCitation":"&lt;sup&gt;11–13&lt;/sup&gt;","plainTextFormattedCitation":"11–13","previouslyFormattedCitation":"&lt;sup&gt;10–12&lt;/sup&gt;"},"properties":{"noteIndex":0},"schema":"https://github.com/citation-style-language/schema/raw/master/csl-citation.json"}</w:instrText>
      </w:r>
      <w:r w:rsidRPr="000E1167">
        <w:rPr>
          <w:rFonts w:ascii="Verdana" w:eastAsia="Calibri" w:hAnsi="Verdana"/>
          <w:sz w:val="20"/>
        </w:rPr>
        <w:fldChar w:fldCharType="separate"/>
      </w:r>
      <w:r w:rsidRPr="000E1167">
        <w:rPr>
          <w:rFonts w:ascii="Verdana" w:eastAsia="Calibri" w:hAnsi="Verdana"/>
          <w:noProof/>
          <w:sz w:val="20"/>
          <w:vertAlign w:val="superscript"/>
        </w:rPr>
        <w:t>11–13</w:t>
      </w:r>
      <w:r w:rsidRPr="000E1167">
        <w:rPr>
          <w:rFonts w:ascii="Verdana" w:eastAsia="Calibri" w:hAnsi="Verdana"/>
          <w:sz w:val="20"/>
        </w:rPr>
        <w:fldChar w:fldCharType="end"/>
      </w:r>
      <w:r w:rsidRPr="000E1167">
        <w:rPr>
          <w:rFonts w:ascii="Verdana" w:eastAsia="Calibri" w:hAnsi="Verdana"/>
          <w:sz w:val="20"/>
        </w:rPr>
        <w:t xml:space="preserve"> </w:t>
      </w:r>
    </w:p>
    <w:p w14:paraId="3F5576EE" w14:textId="77777777" w:rsidR="000E1167" w:rsidRPr="000E1167" w:rsidRDefault="000E1167" w:rsidP="000E1167">
      <w:pPr>
        <w:spacing w:line="240" w:lineRule="auto"/>
        <w:ind w:left="360"/>
        <w:jc w:val="both"/>
        <w:rPr>
          <w:rFonts w:ascii="Verdana" w:eastAsia="Calibri" w:hAnsi="Verdana"/>
          <w:b/>
          <w:sz w:val="20"/>
          <w:szCs w:val="20"/>
        </w:rPr>
      </w:pPr>
      <w:r w:rsidRPr="000E1167">
        <w:rPr>
          <w:rFonts w:ascii="Verdana" w:eastAsia="Calibri" w:hAnsi="Verdana"/>
          <w:b/>
          <w:sz w:val="20"/>
          <w:szCs w:val="20"/>
        </w:rPr>
        <w:t xml:space="preserve">Session 2: What is a geriatric assessment and how to do </w:t>
      </w:r>
      <w:proofErr w:type="gramStart"/>
      <w:r w:rsidRPr="000E1167">
        <w:rPr>
          <w:rFonts w:ascii="Verdana" w:eastAsia="Calibri" w:hAnsi="Verdana"/>
          <w:b/>
          <w:sz w:val="20"/>
          <w:szCs w:val="20"/>
        </w:rPr>
        <w:t>it</w:t>
      </w:r>
      <w:proofErr w:type="gramEnd"/>
    </w:p>
    <w:p w14:paraId="4CC050C4" w14:textId="77777777" w:rsidR="000E1167" w:rsidRPr="000E1167" w:rsidRDefault="000E1167" w:rsidP="000E1167">
      <w:pPr>
        <w:pStyle w:val="ListParagraph"/>
        <w:numPr>
          <w:ilvl w:val="0"/>
          <w:numId w:val="6"/>
        </w:numPr>
        <w:spacing w:after="0" w:line="240" w:lineRule="auto"/>
        <w:rPr>
          <w:rFonts w:ascii="Verdana" w:eastAsia="Calibri" w:hAnsi="Verdana"/>
          <w:bCs/>
          <w:i/>
          <w:iCs/>
          <w:sz w:val="20"/>
          <w:szCs w:val="20"/>
        </w:rPr>
      </w:pPr>
      <w:r w:rsidRPr="000E1167">
        <w:rPr>
          <w:rFonts w:ascii="Verdana" w:eastAsia="Calibri" w:hAnsi="Verdana"/>
          <w:i/>
          <w:iCs/>
          <w:sz w:val="20"/>
          <w:szCs w:val="20"/>
        </w:rPr>
        <w:t xml:space="preserve">Objective 1: </w:t>
      </w:r>
      <w:r w:rsidRPr="000E1167">
        <w:rPr>
          <w:rFonts w:ascii="Verdana" w:eastAsia="Calibri" w:hAnsi="Verdana"/>
          <w:bCs/>
          <w:i/>
          <w:iCs/>
          <w:sz w:val="20"/>
          <w:szCs w:val="20"/>
        </w:rPr>
        <w:t>Define and explain key elements of a geriatric assessment and their relevance to older adults with cancer.</w:t>
      </w:r>
    </w:p>
    <w:p w14:paraId="08E753E9" w14:textId="77777777" w:rsidR="000E1167" w:rsidRPr="000E1167" w:rsidRDefault="000E1167" w:rsidP="000E1167">
      <w:pPr>
        <w:pStyle w:val="ListParagraph"/>
        <w:numPr>
          <w:ilvl w:val="0"/>
          <w:numId w:val="6"/>
        </w:numPr>
        <w:spacing w:after="0" w:line="240" w:lineRule="auto"/>
        <w:rPr>
          <w:rFonts w:ascii="Verdana" w:eastAsia="Calibri" w:hAnsi="Verdana"/>
          <w:bCs/>
          <w:i/>
          <w:iCs/>
          <w:sz w:val="20"/>
          <w:szCs w:val="20"/>
        </w:rPr>
      </w:pPr>
      <w:r w:rsidRPr="000E1167">
        <w:rPr>
          <w:rFonts w:ascii="Verdana" w:eastAsia="Calibri" w:hAnsi="Verdana"/>
          <w:i/>
          <w:iCs/>
          <w:sz w:val="20"/>
          <w:szCs w:val="20"/>
        </w:rPr>
        <w:t xml:space="preserve">Objective 2: </w:t>
      </w:r>
      <w:r w:rsidRPr="000E1167">
        <w:rPr>
          <w:rFonts w:ascii="Verdana" w:eastAsia="Calibri" w:hAnsi="Verdana"/>
          <w:bCs/>
          <w:i/>
          <w:iCs/>
          <w:sz w:val="20"/>
          <w:szCs w:val="20"/>
        </w:rPr>
        <w:t>Describe the advantages and disadvantages of using screening tests to identify older cancer patients who need a geriatric assessment.</w:t>
      </w:r>
    </w:p>
    <w:p w14:paraId="2D8AC9EB" w14:textId="77777777" w:rsidR="000E1167" w:rsidRPr="000E1167" w:rsidRDefault="000E1167" w:rsidP="000E1167">
      <w:pPr>
        <w:spacing w:after="0" w:line="240" w:lineRule="auto"/>
        <w:rPr>
          <w:rFonts w:ascii="Verdana" w:eastAsia="Calibri" w:hAnsi="Verdana"/>
          <w:bCs/>
          <w:i/>
          <w:iCs/>
          <w:sz w:val="20"/>
          <w:szCs w:val="20"/>
        </w:rPr>
      </w:pPr>
    </w:p>
    <w:p w14:paraId="4070FFA8" w14:textId="77777777" w:rsidR="000E1167" w:rsidRPr="000E1167" w:rsidRDefault="000E1167" w:rsidP="000E1167">
      <w:pPr>
        <w:spacing w:line="240" w:lineRule="auto"/>
        <w:rPr>
          <w:rFonts w:ascii="Verdana" w:eastAsia="Calibri" w:hAnsi="Verdana"/>
          <w:sz w:val="20"/>
          <w:szCs w:val="20"/>
        </w:rPr>
      </w:pPr>
      <w:r w:rsidRPr="000E1167">
        <w:rPr>
          <w:rFonts w:ascii="Verdana" w:eastAsia="Calibri" w:hAnsi="Verdana"/>
          <w:bCs/>
          <w:sz w:val="20"/>
          <w:szCs w:val="20"/>
        </w:rPr>
        <w:t xml:space="preserve">Shabbir Alibhai, MD MSc, built on the prior presentation highlighting the difference between a </w:t>
      </w:r>
      <w:r w:rsidRPr="000E1167">
        <w:rPr>
          <w:rFonts w:ascii="Verdana" w:eastAsia="Calibri" w:hAnsi="Verdana"/>
          <w:sz w:val="20"/>
          <w:szCs w:val="20"/>
        </w:rPr>
        <w:t xml:space="preserve">geriatric assessment, which includes assessing patients across multiple domains (comorbidities, polypharmacy, nutrition, functional status, mood, cognition, and social supports), and a CGA. He emphasized that the value of a CGA is not only assessment, but that development and implementation of an integrated care plan with management strategies for identified deficits is essential. </w:t>
      </w:r>
    </w:p>
    <w:p w14:paraId="4A0CAE37" w14:textId="77777777" w:rsidR="000E1167" w:rsidRPr="000E1167" w:rsidRDefault="000E1167" w:rsidP="000E1167">
      <w:pPr>
        <w:spacing w:line="240" w:lineRule="auto"/>
        <w:rPr>
          <w:rFonts w:ascii="Verdana" w:eastAsia="Calibri" w:hAnsi="Verdana"/>
          <w:sz w:val="20"/>
          <w:szCs w:val="20"/>
        </w:rPr>
      </w:pPr>
      <w:r w:rsidRPr="000E1167">
        <w:rPr>
          <w:rFonts w:ascii="Verdana" w:eastAsia="Calibri" w:hAnsi="Verdana"/>
          <w:sz w:val="20"/>
          <w:szCs w:val="20"/>
        </w:rPr>
        <w:t xml:space="preserve">A geriatric assessment has been endorsed by the American Society of Clinical Oncology with recommended domains and tools to </w:t>
      </w:r>
      <w:hyperlink r:id="rId15" w:history="1">
        <w:r w:rsidRPr="000E1167">
          <w:rPr>
            <w:rStyle w:val="Hyperlink"/>
            <w:rFonts w:ascii="Verdana" w:eastAsia="Calibri" w:hAnsi="Verdana"/>
            <w:color w:val="C00000"/>
            <w:sz w:val="20"/>
            <w:szCs w:val="20"/>
          </w:rPr>
          <w:t>include</w:t>
        </w:r>
      </w:hyperlink>
      <w:r w:rsidRPr="000E1167">
        <w:rPr>
          <w:rFonts w:ascii="Verdana" w:eastAsia="Calibri" w:hAnsi="Verdana"/>
          <w:sz w:val="20"/>
          <w:szCs w:val="20"/>
        </w:rPr>
        <w:t>.</w:t>
      </w:r>
      <w:r w:rsidRPr="000E1167">
        <w:rPr>
          <w:rFonts w:ascii="Verdana" w:eastAsia="Calibri" w:hAnsi="Verdana"/>
          <w:sz w:val="20"/>
          <w:szCs w:val="20"/>
        </w:rPr>
        <w:fldChar w:fldCharType="begin" w:fldLock="1"/>
      </w:r>
      <w:r w:rsidRPr="000E1167">
        <w:rPr>
          <w:rFonts w:ascii="Verdana" w:eastAsia="Calibri" w:hAnsi="Verdana"/>
          <w:sz w:val="20"/>
          <w:szCs w:val="20"/>
        </w:rPr>
        <w:instrText>ADDIN CSL_CITATION {"citationItems":[{"id":"ITEM-1","itemData":{"author":[{"dropping-particle":"","family":"Mohile","given":"Supriya G","non-dropping-particle":"","parse-names":false,"suffix":""},{"dropping-particle":"","family":"Dale","given":"William","non-dropping-particle":"","parse-names":false,"suffix":""},{"dropping-particle":"","family":"Somerfield","given":"Mark R","non-dropping-particle":"","parse-names":false,"suffix":""},{"dropping-particle":"","family":"Schonberg","given":"Mara A","non-dropping-particle":"","parse-names":false,"suffix":""},{"dropping-particle":"","family":"Boyd","given":"Cynthia M","non-dropping-particle":"","parse-names":false,"suffix":""},{"dropping-particle":"","family":"Burhenn","given":"Peggy S","non-dropping-particle":"","parse-names":false,"suffix":""},{"dropping-particle":"","family":"Canin","given":"Beverly","non-dropping-particle":"","parse-names":false,"suffix":""},{"dropping-particle":"","family":"Cohen","given":"Harvey Jay","non-dropping-particle":"","parse-names":false,"suffix":""},{"dropping-particle":"","family":"Holmes","given":"Holly M","non-dropping-particle":"","parse-names":false,"suffix":""},{"dropping-particle":"","family":"Hopkins","given":"Judith O","non-dropping-particle":"","parse-names":false,"suffix":""}],"container-title":"Journal of Clinical Oncology","id":"ITEM-1","issue":"22","issued":{"date-parts":[["2018"]]},"page":"2326","publisher":"American Society of Clinical Oncology","title":"Practical assessment and management of vulnerabilities in older patients receiving chemotherapy: ASCO guideline for geriatric oncology","type":"article-journal","volume":"36"},"uris":["http://www.mendeley.com/documents/?uuid=694d95c0-bb85-44ef-880a-f4c9283f5369"]}],"mendeley":{"formattedCitation":"&lt;sup&gt;14&lt;/sup&gt;","plainTextFormattedCitation":"14","previouslyFormattedCitation":"&lt;sup&gt;13&lt;/sup&gt;"},"properties":{"noteIndex":0},"schema":"https://github.com/citation-style-language/schema/raw/master/csl-citation.json"}</w:instrText>
      </w:r>
      <w:r w:rsidRPr="000E1167">
        <w:rPr>
          <w:rFonts w:ascii="Verdana" w:eastAsia="Calibri" w:hAnsi="Verdana"/>
          <w:sz w:val="20"/>
          <w:szCs w:val="20"/>
        </w:rPr>
        <w:fldChar w:fldCharType="separate"/>
      </w:r>
      <w:r w:rsidRPr="000E1167">
        <w:rPr>
          <w:rFonts w:ascii="Verdana" w:eastAsia="Calibri" w:hAnsi="Verdana"/>
          <w:noProof/>
          <w:sz w:val="20"/>
          <w:szCs w:val="20"/>
          <w:vertAlign w:val="superscript"/>
        </w:rPr>
        <w:t>14</w:t>
      </w:r>
      <w:r w:rsidRPr="000E1167">
        <w:rPr>
          <w:rFonts w:ascii="Verdana" w:eastAsia="Calibri" w:hAnsi="Verdana"/>
          <w:sz w:val="20"/>
          <w:szCs w:val="20"/>
        </w:rPr>
        <w:fldChar w:fldCharType="end"/>
      </w:r>
      <w:r w:rsidRPr="000E1167">
        <w:rPr>
          <w:rFonts w:ascii="Verdana" w:eastAsia="Calibri" w:hAnsi="Verdana"/>
          <w:sz w:val="20"/>
          <w:szCs w:val="20"/>
        </w:rPr>
        <w:t xml:space="preserve"> Dr. Alibhai highlighted the importance of the interdisciplinary team in geriatric oncology clinic and outlined elements utilized at Princess Margaret Comprehensive Cancer Centre including: </w:t>
      </w:r>
    </w:p>
    <w:p w14:paraId="63845A2E" w14:textId="77777777" w:rsidR="000E1167" w:rsidRPr="000E1167" w:rsidRDefault="000E1167" w:rsidP="000E1167">
      <w:pPr>
        <w:pStyle w:val="ListParagraph"/>
        <w:numPr>
          <w:ilvl w:val="0"/>
          <w:numId w:val="7"/>
        </w:numPr>
        <w:spacing w:after="0" w:line="240" w:lineRule="auto"/>
        <w:rPr>
          <w:rFonts w:ascii="Verdana" w:eastAsia="Calibri" w:hAnsi="Verdana"/>
          <w:sz w:val="20"/>
          <w:szCs w:val="20"/>
        </w:rPr>
      </w:pPr>
      <w:r w:rsidRPr="000E1167">
        <w:rPr>
          <w:rFonts w:ascii="Verdana" w:eastAsia="Calibri" w:hAnsi="Verdana"/>
          <w:sz w:val="20"/>
          <w:szCs w:val="20"/>
        </w:rPr>
        <w:t>Understanding the reason for referral (</w:t>
      </w:r>
      <w:proofErr w:type="spellStart"/>
      <w:r w:rsidRPr="000E1167">
        <w:rPr>
          <w:rFonts w:ascii="Verdana" w:eastAsia="Calibri" w:hAnsi="Verdana"/>
          <w:sz w:val="20"/>
          <w:szCs w:val="20"/>
        </w:rPr>
        <w:t>pretreatment</w:t>
      </w:r>
      <w:proofErr w:type="spellEnd"/>
      <w:r w:rsidRPr="000E1167">
        <w:rPr>
          <w:rFonts w:ascii="Verdana" w:eastAsia="Calibri" w:hAnsi="Verdana"/>
          <w:sz w:val="20"/>
          <w:szCs w:val="20"/>
        </w:rPr>
        <w:t>, during treatment, survivorship issues).</w:t>
      </w:r>
    </w:p>
    <w:p w14:paraId="67848D9F" w14:textId="77777777" w:rsidR="000E1167" w:rsidRPr="000E1167" w:rsidRDefault="000E1167" w:rsidP="000E1167">
      <w:pPr>
        <w:pStyle w:val="ListParagraph"/>
        <w:numPr>
          <w:ilvl w:val="0"/>
          <w:numId w:val="7"/>
        </w:numPr>
        <w:spacing w:after="0" w:line="240" w:lineRule="auto"/>
        <w:rPr>
          <w:rFonts w:ascii="Verdana" w:eastAsia="Calibri" w:hAnsi="Verdana"/>
          <w:sz w:val="20"/>
          <w:szCs w:val="20"/>
        </w:rPr>
      </w:pPr>
      <w:r w:rsidRPr="000E1167">
        <w:rPr>
          <w:rFonts w:ascii="Verdana" w:eastAsia="Calibri" w:hAnsi="Verdana"/>
          <w:sz w:val="20"/>
          <w:szCs w:val="20"/>
        </w:rPr>
        <w:t>Data gathering on nutrition (weight loss, body mass index [BMI]), mood (Patient Health Questionnaire-2), cognition (Mini-Cog), screening for vision and hearing and symptoms.</w:t>
      </w:r>
    </w:p>
    <w:p w14:paraId="6339F0B7" w14:textId="77777777" w:rsidR="000E1167" w:rsidRPr="000E1167" w:rsidRDefault="000E1167" w:rsidP="000E1167">
      <w:pPr>
        <w:pStyle w:val="ListParagraph"/>
        <w:numPr>
          <w:ilvl w:val="0"/>
          <w:numId w:val="7"/>
        </w:numPr>
        <w:spacing w:after="0" w:line="240" w:lineRule="auto"/>
        <w:rPr>
          <w:rFonts w:ascii="Verdana" w:eastAsia="Calibri" w:hAnsi="Verdana"/>
          <w:sz w:val="20"/>
          <w:szCs w:val="20"/>
        </w:rPr>
      </w:pPr>
      <w:r w:rsidRPr="000E1167">
        <w:rPr>
          <w:rFonts w:ascii="Verdana" w:eastAsia="Calibri" w:hAnsi="Verdana"/>
          <w:sz w:val="20"/>
          <w:szCs w:val="20"/>
        </w:rPr>
        <w:t xml:space="preserve">Validated prognostic tools as appropriate including </w:t>
      </w:r>
      <w:hyperlink r:id="rId16" w:history="1">
        <w:proofErr w:type="spellStart"/>
        <w:r w:rsidRPr="000E1167">
          <w:rPr>
            <w:rStyle w:val="Hyperlink"/>
            <w:rFonts w:ascii="Verdana" w:eastAsia="Calibri" w:hAnsi="Verdana"/>
            <w:color w:val="C00000"/>
            <w:sz w:val="20"/>
            <w:szCs w:val="20"/>
          </w:rPr>
          <w:t>ePrognosis</w:t>
        </w:r>
        <w:proofErr w:type="spellEnd"/>
      </w:hyperlink>
      <w:r w:rsidRPr="000E1167">
        <w:rPr>
          <w:rFonts w:ascii="Verdana" w:eastAsia="Calibri" w:hAnsi="Verdana"/>
          <w:sz w:val="20"/>
          <w:szCs w:val="20"/>
        </w:rPr>
        <w:t xml:space="preserve"> (Lee/Schonberg Indices), chemotherapy toxicity prediction (</w:t>
      </w:r>
      <w:hyperlink r:id="rId17" w:history="1">
        <w:r w:rsidRPr="000E1167">
          <w:rPr>
            <w:rStyle w:val="Hyperlink"/>
            <w:rFonts w:ascii="Verdana" w:eastAsia="Calibri" w:hAnsi="Verdana"/>
            <w:color w:val="C00000"/>
            <w:sz w:val="20"/>
            <w:szCs w:val="20"/>
          </w:rPr>
          <w:t>Cancer and Aging Research Group Tool</w:t>
        </w:r>
      </w:hyperlink>
      <w:r w:rsidRPr="000E1167">
        <w:rPr>
          <w:rFonts w:ascii="Verdana" w:eastAsia="Calibri" w:hAnsi="Verdana"/>
          <w:sz w:val="20"/>
          <w:szCs w:val="20"/>
        </w:rPr>
        <w:t>), and/or surgical risk (</w:t>
      </w:r>
      <w:hyperlink r:id="rId18" w:history="1">
        <w:r w:rsidRPr="000E1167">
          <w:rPr>
            <w:rStyle w:val="Hyperlink"/>
            <w:rFonts w:ascii="Verdana" w:eastAsia="Calibri" w:hAnsi="Verdana"/>
            <w:color w:val="C00000"/>
            <w:sz w:val="20"/>
            <w:szCs w:val="20"/>
          </w:rPr>
          <w:t xml:space="preserve">American College of Surgeons’ </w:t>
        </w:r>
        <w:r w:rsidRPr="000E1167">
          <w:rPr>
            <w:rStyle w:val="Hyperlink"/>
            <w:rFonts w:ascii="Verdana" w:hAnsi="Verdana"/>
            <w:color w:val="C00000"/>
            <w:sz w:val="20"/>
            <w:szCs w:val="20"/>
          </w:rPr>
          <w:t>Surgical Risk Calculator</w:t>
        </w:r>
      </w:hyperlink>
      <w:r w:rsidRPr="000E1167">
        <w:rPr>
          <w:rFonts w:ascii="Verdana" w:hAnsi="Verdana"/>
          <w:color w:val="000000"/>
          <w:sz w:val="20"/>
          <w:szCs w:val="20"/>
        </w:rPr>
        <w:t>).</w:t>
      </w:r>
      <w:r w:rsidRPr="000E1167">
        <w:rPr>
          <w:rFonts w:ascii="Verdana" w:hAnsi="Verdana"/>
          <w:color w:val="000000"/>
          <w:sz w:val="20"/>
          <w:szCs w:val="20"/>
        </w:rPr>
        <w:fldChar w:fldCharType="begin" w:fldLock="1"/>
      </w:r>
      <w:r w:rsidRPr="000E1167">
        <w:rPr>
          <w:rFonts w:ascii="Verdana" w:hAnsi="Verdana"/>
          <w:color w:val="000000"/>
          <w:sz w:val="20"/>
          <w:szCs w:val="20"/>
        </w:rPr>
        <w:instrText>ADDIN CSL_CITATION {"citationItems":[{"id":"ITEM-1","itemData":{"URL":"https://eprognosis.ucsf.edu/index.php","accessed":{"date-parts":[["2018","1","6"]]},"author":[{"dropping-particle":"","family":"Lee","given":"S","non-dropping-particle":"","parse-names":false,"suffix":""},{"dropping-particle":"","family":"Smith","given":"A","non-dropping-particle":"","parse-names":false,"suffix":""},{"dropping-particle":"","family":"Widera","given":"E","non-dropping-particle":"","parse-names":false,"suffix":""},{"dropping-particle":"","family":"Yourman","given":"L","non-dropping-particle":"","parse-names":false,"suffix":""},{"dropping-particle":"","family":"Schonberg","given":"M","non-dropping-particle":"","parse-names":false,"suffix":""},{"dropping-particle":"","family":"Ahalt","given":"C","non-dropping-particle":"","parse-names":false,"suffix":""}],"id":"ITEM-1","issued":{"date-parts":[["0"]]},"title":"ePrognosis","type":"webpage"},"uris":["http://www.mendeley.com/documents/?uuid=4852dd61-ac10-4723-a6da-fa102cca6e3f"]},{"id":"ITEM-2","itemData":{"author":[{"dropping-particle":"","family":"Hurria","given":"Arti","non-dropping-particle":"","parse-names":false,"suffix":""},{"dropping-particle":"","family":"Togawa","given":"Kayo","non-dropping-particle":"","parse-names":false,"suffix":""},{"dropping-particle":"","family":"Mohile","given":"Supriya G","non-dropping-particle":"","parse-names":false,"suffix":""},{"dropping-particle":"","family":"Owusu","given":"Cynthia","non-dropping-particle":"","parse-names":false,"suffix":""},{"dropping-particle":"","family":"Klepin","given":"Heidi D","non-dropping-particle":"","parse-names":false,"suffix":""},{"dropping-particle":"","family":"Gross","given":"Cary P","non-dropping-particle":"","parse-names":false,"suffix":""},{"dropping-particle":"","family":"Lichtman","given":"Stuart M","non-dropping-particle":"","parse-names":false,"suffix":""},{"dropping-particle":"","family":"Gajra","given":"Ajeet","non-dropping-particle":"","parse-names":false,"suffix":""},{"dropping-particle":"","family":"Bhatia","given":"Smita","non-dropping-particle":"","parse-names":false,"suffix":""},{"dropping-particle":"","family":"Katheria","given":"Vani","non-dropping-particle":"","parse-names":false,"suffix":""}],"container-title":"Journal of Clinical Oncology","id":"ITEM-2","issue":"25","issued":{"date-parts":[["2011"]]},"page":"3457","publisher":"American Society of Clinical Oncology","title":"Predicting chemotherapy toxicity in older adults with cancer: a prospective multicenter study","type":"article-journal","volume":"29"},"uris":["http://www.mendeley.com/documents/?uuid=1c667bf7-a91c-49d4-80c2-1c403c1b2088"]},{"id":"ITEM-3","itemData":{"ISSN":"1072-7515","author":[{"dropping-particle":"","family":"Liu","given":"Yaoming","non-dropping-particle":"","parse-names":false,"suffix":""},{"dropping-particle":"","family":"Cohen","given":"Mark E","non-dropping-particle":"","parse-names":false,"suffix":""},{"dropping-particle":"","family":"Hall","given":"Bruce L","non-dropping-particle":"","parse-names":false,"suffix":""},{"dropping-particle":"","family":"Ko","given":"Clifford Y","non-dropping-particle":"","parse-names":false,"suffix":""},{"dropping-particle":"","family":"Bilimoria","given":"Karl Y","non-dropping-particle":"","parse-names":false,"suffix":""}],"container-title":"Journal of the American College of Surgeons","id":"ITEM-3","issue":"2","issued":{"date-parts":[["2016"]]},"page":"231-239","publisher":"Elsevier","title":"Evaluation and enhancement of calibration in the American College of Surgeons NSQIP Surgical Risk Calculator","type":"article-journal","volume":"223"},"uris":["http://www.mendeley.com/documents/?uuid=ca3bfef3-361b-48b3-a8a3-fa8db1c9f0e0"]}],"mendeley":{"formattedCitation":"&lt;sup&gt;15–17&lt;/sup&gt;","plainTextFormattedCitation":"15–17","previouslyFormattedCitation":"&lt;sup&gt;14–16&lt;/sup&gt;"},"properties":{"noteIndex":0},"schema":"https://github.com/citation-style-language/schema/raw/master/csl-citation.json"}</w:instrText>
      </w:r>
      <w:r w:rsidRPr="000E1167">
        <w:rPr>
          <w:rFonts w:ascii="Verdana" w:hAnsi="Verdana"/>
          <w:color w:val="000000"/>
          <w:sz w:val="20"/>
          <w:szCs w:val="20"/>
        </w:rPr>
        <w:fldChar w:fldCharType="separate"/>
      </w:r>
      <w:r w:rsidRPr="000E1167">
        <w:rPr>
          <w:rFonts w:ascii="Verdana" w:hAnsi="Verdana"/>
          <w:noProof/>
          <w:color w:val="000000"/>
          <w:sz w:val="20"/>
          <w:szCs w:val="20"/>
          <w:vertAlign w:val="superscript"/>
        </w:rPr>
        <w:t>15–17</w:t>
      </w:r>
      <w:r w:rsidRPr="000E1167">
        <w:rPr>
          <w:rFonts w:ascii="Verdana" w:hAnsi="Verdana"/>
          <w:color w:val="000000"/>
          <w:sz w:val="20"/>
          <w:szCs w:val="20"/>
        </w:rPr>
        <w:fldChar w:fldCharType="end"/>
      </w:r>
    </w:p>
    <w:p w14:paraId="40D48229" w14:textId="77777777" w:rsidR="000E1167" w:rsidRPr="000E1167" w:rsidRDefault="000E1167" w:rsidP="000E1167">
      <w:pPr>
        <w:pStyle w:val="ListParagraph"/>
        <w:numPr>
          <w:ilvl w:val="0"/>
          <w:numId w:val="7"/>
        </w:numPr>
        <w:spacing w:after="0" w:line="240" w:lineRule="auto"/>
        <w:rPr>
          <w:rFonts w:ascii="Verdana" w:eastAsia="Calibri" w:hAnsi="Verdana"/>
          <w:sz w:val="20"/>
          <w:szCs w:val="20"/>
        </w:rPr>
      </w:pPr>
      <w:r w:rsidRPr="000E1167">
        <w:rPr>
          <w:rFonts w:ascii="Verdana" w:eastAsia="Calibri" w:hAnsi="Verdana"/>
          <w:sz w:val="20"/>
          <w:szCs w:val="20"/>
        </w:rPr>
        <w:t>Summary of domain-specific issues and recommendations.</w:t>
      </w:r>
    </w:p>
    <w:p w14:paraId="33922507" w14:textId="77777777" w:rsidR="000E1167" w:rsidRPr="000E1167" w:rsidRDefault="000E1167" w:rsidP="000E1167">
      <w:pPr>
        <w:pStyle w:val="ListParagraph"/>
        <w:numPr>
          <w:ilvl w:val="0"/>
          <w:numId w:val="7"/>
        </w:numPr>
        <w:spacing w:after="0" w:line="240" w:lineRule="auto"/>
        <w:rPr>
          <w:rFonts w:ascii="Verdana" w:eastAsia="Calibri" w:hAnsi="Verdana"/>
          <w:sz w:val="20"/>
          <w:szCs w:val="20"/>
        </w:rPr>
      </w:pPr>
      <w:r w:rsidRPr="000E1167">
        <w:rPr>
          <w:rFonts w:ascii="Verdana" w:eastAsia="Calibri" w:hAnsi="Verdana"/>
          <w:sz w:val="20"/>
          <w:szCs w:val="20"/>
        </w:rPr>
        <w:t>Implementation of CGA-based plan.</w:t>
      </w:r>
    </w:p>
    <w:p w14:paraId="08A357FC" w14:textId="77777777" w:rsidR="000E1167" w:rsidRPr="000E1167" w:rsidRDefault="000E1167" w:rsidP="000E1167">
      <w:pPr>
        <w:pStyle w:val="ListParagraph"/>
        <w:numPr>
          <w:ilvl w:val="0"/>
          <w:numId w:val="7"/>
        </w:numPr>
        <w:spacing w:after="0" w:line="240" w:lineRule="auto"/>
        <w:rPr>
          <w:rFonts w:ascii="Verdana" w:eastAsia="Calibri" w:hAnsi="Verdana"/>
          <w:sz w:val="20"/>
          <w:szCs w:val="20"/>
        </w:rPr>
      </w:pPr>
      <w:r w:rsidRPr="000E1167">
        <w:rPr>
          <w:rFonts w:ascii="Verdana" w:eastAsia="Calibri" w:hAnsi="Verdana"/>
          <w:sz w:val="20"/>
          <w:szCs w:val="20"/>
        </w:rPr>
        <w:t>Follow-up as needed.</w:t>
      </w:r>
    </w:p>
    <w:p w14:paraId="7D731B3C" w14:textId="77777777" w:rsidR="000E1167" w:rsidRPr="000E1167" w:rsidRDefault="000E1167" w:rsidP="000E1167">
      <w:pPr>
        <w:spacing w:line="240" w:lineRule="auto"/>
        <w:jc w:val="both"/>
        <w:rPr>
          <w:rFonts w:ascii="Verdana" w:eastAsia="Calibri" w:hAnsi="Verdana"/>
          <w:sz w:val="20"/>
          <w:szCs w:val="20"/>
        </w:rPr>
      </w:pPr>
      <w:r w:rsidRPr="000E1167">
        <w:rPr>
          <w:rFonts w:ascii="Verdana" w:eastAsia="Calibri" w:hAnsi="Verdana"/>
          <w:sz w:val="20"/>
          <w:szCs w:val="20"/>
        </w:rPr>
        <w:br/>
        <w:t>Access to CGA may not be feasible or necessary for all older adults in some settings, and several models to complete geriatric assessment have been tested.</w:t>
      </w:r>
      <w:r w:rsidRPr="000E1167">
        <w:rPr>
          <w:rFonts w:ascii="Verdana" w:eastAsia="Calibri" w:hAnsi="Verdana"/>
          <w:sz w:val="20"/>
          <w:szCs w:val="20"/>
        </w:rPr>
        <w:fldChar w:fldCharType="begin" w:fldLock="1"/>
      </w:r>
      <w:r w:rsidRPr="000E1167">
        <w:rPr>
          <w:rFonts w:ascii="Verdana" w:eastAsia="Calibri" w:hAnsi="Verdana"/>
          <w:sz w:val="20"/>
          <w:szCs w:val="20"/>
        </w:rPr>
        <w:instrText>ADDIN CSL_CITATION {"citationItems":[{"id":"ITEM-1","itemData":{"ISSN":"0008-543X","author":[{"dropping-particle":"","family":"Hurria","given":"Arti","non-dropping-particle":"","parse-names":false,"suffix":""},{"dropping-particle":"","family":"Gupta","given":"Supriya","non-dropping-particle":"","parse-names":false,"suffix":""},{"dropping-particle":"","family":"Zauderer","given":"Marjorie","non-dropping-particle":"","parse-names":false,"suffix":""},{"dropping-particle":"","family":"Zuckerman","given":"Enid L","non-dropping-particle":"","parse-names":false,"suffix":""},{"dropping-particle":"","family":"Cohen","given":"Harvey J","non-dropping-particle":"","parse-names":false,"suffix":""},{"dropping-particle":"","family":"Muss","given":"Hyman","non-dropping-particle":"","parse-names":false,"suffix":""},{"dropping-particle":"","family":"Rodin","given":"Miriam","non-dropping-particle":"","parse-names":false,"suffix":""},{"dropping-particle":"","family":"Panageas","given":"Katherine S","non-dropping-particle":"","parse-names":false,"suffix":""},{"dropping-particle":"","family":"Holland","given":"Jimmie C","non-dropping-particle":"","parse-names":false,"suffix":""},{"dropping-particle":"","family":"Saltz","given":"Leonard","non-dropping-particle":"","parse-names":false,"suffix":""}],"container-title":"Cancer: Interdisciplinary International Journal of the American Cancer Society","id":"ITEM-1","issue":"9","issued":{"date-parts":[["2005"]]},"page":"1998-2005","publisher":"Wiley Online Library","title":"Developing a cancer</w:instrText>
      </w:r>
      <w:r w:rsidRPr="000E1167">
        <w:rPr>
          <w:rFonts w:ascii="Cambria Math" w:eastAsia="Calibri" w:hAnsi="Cambria Math" w:cs="Cambria Math"/>
          <w:sz w:val="20"/>
          <w:szCs w:val="20"/>
        </w:rPr>
        <w:instrText>‐</w:instrText>
      </w:r>
      <w:r w:rsidRPr="000E1167">
        <w:rPr>
          <w:rFonts w:ascii="Verdana" w:eastAsia="Calibri" w:hAnsi="Verdana"/>
          <w:sz w:val="20"/>
          <w:szCs w:val="20"/>
        </w:rPr>
        <w:instrText>specific geriatric assessment: A feasibility study","type":"article-journal","volume":"104"},"uris":["http://www.mendeley.com/documents/?uuid=5ce8762d-e236-4f57-8551-d51027552c96"]},{"id":"ITEM-2","itemData":{"ISSN":"1540-1405","author":[{"dropping-particle":"","family":"Shahrokni","given":"Armin","non-dropping-particle":"","parse-names":false,"suffix":""},{"dropping-particle":"","family":"Tin","given":"Amy","non-dropping-particle":"","parse-names":false,"suffix":""},{"dropping-particle":"","family":"Downey","given":"Robert J","non-dropping-particle":"","parse-names":false,"suffix":""},{"dropping-particle":"","family":"Strong","given":"Vivian","non-dropping-particle":"","parse-names":false,"suffix":""},{"dropping-particle":"","family":"Mahmoudzadeh","given":"Sanam","non-dropping-particle":"","parse-names":false,"suffix":""},{"dropping-particle":"","family":"Boparai","given":"Manpreet K","non-dropping-particle":"","parse-names":false,"suffix":""},{"dropping-particle":"","family":"McMillan","given":"Sincere","non-dropping-particle":"","parse-names":false,"suffix":""},{"dropping-particle":"","family":"Vickers","given":"Andrew","non-dropping-particle":"","parse-names":false,"suffix":""},{"dropping-particle":"","family":"Korc-Grodzicki","given":"Beatriz","non-dropping-particle":"","parse-names":false,"suffix":""}],"container-title":"Journal of the National Comprehensive Cancer Network","id":"ITEM-2","issue":"2","issued":{"date-parts":[["2017"]]},"page":"172-179","publisher":"Harborside Press, LLC","title":"Electronic rapid fitness assessment: a novel tool for preoperative evaluation of the geriatric oncology patient","type":"article-journal","volume":"15"},"uris":["http://www.mendeley.com/documents/?uuid=4a860202-5897-4c13-bfcf-f09d08652316"]}],"mendeley":{"formattedCitation":"&lt;sup&gt;18,19&lt;/sup&gt;","plainTextFormattedCitation":"18,19","previouslyFormattedCitation":"&lt;sup&gt;17,18&lt;/sup&gt;"},"properties":{"noteIndex":0},"schema":"https://github.com/citation-style-language/schema/raw/master/csl-citation.json"}</w:instrText>
      </w:r>
      <w:r w:rsidRPr="000E1167">
        <w:rPr>
          <w:rFonts w:ascii="Verdana" w:eastAsia="Calibri" w:hAnsi="Verdana"/>
          <w:sz w:val="20"/>
          <w:szCs w:val="20"/>
        </w:rPr>
        <w:fldChar w:fldCharType="separate"/>
      </w:r>
      <w:r w:rsidRPr="000E1167">
        <w:rPr>
          <w:rFonts w:ascii="Verdana" w:eastAsia="Calibri" w:hAnsi="Verdana"/>
          <w:noProof/>
          <w:sz w:val="20"/>
          <w:szCs w:val="20"/>
          <w:vertAlign w:val="superscript"/>
        </w:rPr>
        <w:t>18,19</w:t>
      </w:r>
      <w:r w:rsidRPr="000E1167">
        <w:rPr>
          <w:rFonts w:ascii="Verdana" w:eastAsia="Calibri" w:hAnsi="Verdana"/>
          <w:sz w:val="20"/>
          <w:szCs w:val="20"/>
        </w:rPr>
        <w:fldChar w:fldCharType="end"/>
      </w:r>
      <w:r w:rsidRPr="000E1167">
        <w:rPr>
          <w:rFonts w:ascii="Verdana" w:eastAsia="Calibri" w:hAnsi="Verdana"/>
          <w:sz w:val="20"/>
          <w:szCs w:val="20"/>
        </w:rPr>
        <w:t xml:space="preserve"> </w:t>
      </w:r>
      <w:proofErr w:type="gramStart"/>
      <w:r w:rsidRPr="000E1167">
        <w:rPr>
          <w:rFonts w:ascii="Verdana" w:eastAsia="Calibri" w:hAnsi="Verdana"/>
          <w:sz w:val="20"/>
          <w:szCs w:val="20"/>
        </w:rPr>
        <w:t>Screening</w:t>
      </w:r>
      <w:proofErr w:type="gramEnd"/>
      <w:r w:rsidRPr="000E1167">
        <w:rPr>
          <w:rFonts w:ascii="Verdana" w:eastAsia="Calibri" w:hAnsi="Verdana"/>
          <w:sz w:val="20"/>
          <w:szCs w:val="20"/>
        </w:rPr>
        <w:t xml:space="preserve"> tools to detect vulnerability in older adults were discussed as a potential strategy to efficiently identify those needing a CGA. However, Dr. Alibhai cautioned that the sensitivity and specificity of these tools varied and this may limit their usefulness despite their appeal to improve accessibility.</w:t>
      </w:r>
      <w:r w:rsidRPr="000E1167">
        <w:rPr>
          <w:rFonts w:ascii="Verdana" w:eastAsia="Calibri" w:hAnsi="Verdana"/>
          <w:sz w:val="20"/>
          <w:szCs w:val="20"/>
        </w:rPr>
        <w:fldChar w:fldCharType="begin" w:fldLock="1"/>
      </w:r>
      <w:r w:rsidRPr="000E1167">
        <w:rPr>
          <w:rFonts w:ascii="Verdana" w:eastAsia="Calibri" w:hAnsi="Verdana"/>
          <w:sz w:val="20"/>
          <w:szCs w:val="20"/>
        </w:rPr>
        <w:instrText>ADDIN CSL_CITATION {"citationItems":[{"id":"ITEM-1","itemData":{"ISSN":"1470-2045","author":[{"dropping-particle":"","family":"Hamaker","given":"Marije E","non-dropping-particle":"","parse-names":false,"suffix":""},{"dropping-particle":"","family":"Jonker","given":"Judith M","non-dropping-particle":"","parse-names":false,"suffix":""},{"dropping-particle":"","family":"Rooij","given":"Sophia E","non-dropping-particle":"de","parse-names":false,"suffix":""},{"dropping-particle":"","family":"Vos","given":"Alinda G","non-dropping-particle":"","parse-names":false,"suffix":""},{"dropping-particle":"","family":"Smorenburg","given":"Carolien H","non-dropping-particle":"","parse-names":false,"suffix":""},{"dropping-particle":"","family":"Munster","given":"Barbara C","non-dropping-particle":"van","parse-names":false,"suffix":""}],"container-title":"The lancet oncology","id":"ITEM-1","issue":"10","issued":{"date-parts":[["2012"]]},"page":"e437-e444","publisher":"Elsevier","title":"Frailty screening methods for predicting outcome of a comprehensive geriatric assessment in elderly patients with cancer: a systematic review","type":"article-journal","volume":"13"},"uris":["http://www.mendeley.com/documents/?uuid=03cab0fe-6b3e-4838-b059-ca0835f7f6be"]}],"mendeley":{"formattedCitation":"&lt;sup&gt;20&lt;/sup&gt;","plainTextFormattedCitation":"20","previouslyFormattedCitation":"&lt;sup&gt;19&lt;/sup&gt;"},"properties":{"noteIndex":0},"schema":"https://github.com/citation-style-language/schema/raw/master/csl-citation.json"}</w:instrText>
      </w:r>
      <w:r w:rsidRPr="000E1167">
        <w:rPr>
          <w:rFonts w:ascii="Verdana" w:eastAsia="Calibri" w:hAnsi="Verdana"/>
          <w:sz w:val="20"/>
          <w:szCs w:val="20"/>
        </w:rPr>
        <w:fldChar w:fldCharType="separate"/>
      </w:r>
      <w:r w:rsidRPr="000E1167">
        <w:rPr>
          <w:rFonts w:ascii="Verdana" w:eastAsia="Calibri" w:hAnsi="Verdana"/>
          <w:noProof/>
          <w:sz w:val="20"/>
          <w:szCs w:val="20"/>
          <w:vertAlign w:val="superscript"/>
        </w:rPr>
        <w:t>20</w:t>
      </w:r>
      <w:r w:rsidRPr="000E1167">
        <w:rPr>
          <w:rFonts w:ascii="Verdana" w:eastAsia="Calibri" w:hAnsi="Verdana"/>
          <w:sz w:val="20"/>
          <w:szCs w:val="20"/>
        </w:rPr>
        <w:fldChar w:fldCharType="end"/>
      </w:r>
      <w:r w:rsidRPr="000E1167">
        <w:rPr>
          <w:rFonts w:ascii="Verdana" w:eastAsia="Calibri" w:hAnsi="Verdana"/>
          <w:sz w:val="20"/>
          <w:szCs w:val="20"/>
        </w:rPr>
        <w:t xml:space="preserve"> </w:t>
      </w:r>
    </w:p>
    <w:p w14:paraId="43E8D1F2" w14:textId="77777777" w:rsidR="000E1167" w:rsidRPr="000E1167" w:rsidRDefault="000E1167" w:rsidP="000E1167">
      <w:pPr>
        <w:spacing w:line="240" w:lineRule="auto"/>
        <w:ind w:left="360"/>
        <w:jc w:val="both"/>
        <w:rPr>
          <w:rFonts w:ascii="Verdana" w:eastAsia="Calibri" w:hAnsi="Verdana"/>
          <w:b/>
          <w:sz w:val="20"/>
        </w:rPr>
      </w:pPr>
      <w:r w:rsidRPr="000E1167">
        <w:rPr>
          <w:rFonts w:ascii="Verdana" w:eastAsia="Calibri" w:hAnsi="Verdana"/>
          <w:b/>
          <w:sz w:val="20"/>
        </w:rPr>
        <w:lastRenderedPageBreak/>
        <w:t>Workshop 1: Cancer and cognition</w:t>
      </w:r>
    </w:p>
    <w:p w14:paraId="55CB0236" w14:textId="77777777" w:rsidR="000E1167" w:rsidRPr="000E1167" w:rsidRDefault="000E1167" w:rsidP="000E1167">
      <w:pPr>
        <w:pStyle w:val="ListParagraph"/>
        <w:numPr>
          <w:ilvl w:val="0"/>
          <w:numId w:val="8"/>
        </w:numPr>
        <w:spacing w:after="0" w:line="240" w:lineRule="auto"/>
        <w:jc w:val="both"/>
        <w:rPr>
          <w:rFonts w:ascii="Verdana" w:eastAsia="Calibri" w:hAnsi="Verdana"/>
          <w:bCs/>
          <w:i/>
          <w:iCs/>
          <w:sz w:val="20"/>
        </w:rPr>
      </w:pPr>
      <w:r w:rsidRPr="000E1167">
        <w:rPr>
          <w:rFonts w:ascii="Verdana" w:eastAsia="Calibri" w:hAnsi="Verdana"/>
          <w:i/>
          <w:iCs/>
          <w:sz w:val="20"/>
        </w:rPr>
        <w:t xml:space="preserve">Objective 1: </w:t>
      </w:r>
      <w:r w:rsidRPr="000E1167">
        <w:rPr>
          <w:rFonts w:ascii="Verdana" w:eastAsia="Calibri" w:hAnsi="Verdana"/>
          <w:bCs/>
          <w:i/>
          <w:iCs/>
          <w:sz w:val="20"/>
        </w:rPr>
        <w:t>Describe the difference between normal aging, mild cognitive impairment, and dementia.</w:t>
      </w:r>
    </w:p>
    <w:p w14:paraId="6820AE87" w14:textId="77777777" w:rsidR="000E1167" w:rsidRPr="000E1167" w:rsidRDefault="000E1167" w:rsidP="000E1167">
      <w:pPr>
        <w:pStyle w:val="ListParagraph"/>
        <w:numPr>
          <w:ilvl w:val="0"/>
          <w:numId w:val="8"/>
        </w:numPr>
        <w:spacing w:after="0" w:line="240" w:lineRule="auto"/>
        <w:jc w:val="both"/>
        <w:rPr>
          <w:rFonts w:ascii="Verdana" w:eastAsia="Calibri" w:hAnsi="Verdana"/>
          <w:bCs/>
          <w:i/>
          <w:iCs/>
          <w:sz w:val="20"/>
        </w:rPr>
      </w:pPr>
      <w:r w:rsidRPr="000E1167">
        <w:rPr>
          <w:rFonts w:ascii="Verdana" w:eastAsia="Calibri" w:hAnsi="Verdana"/>
          <w:i/>
          <w:iCs/>
          <w:sz w:val="20"/>
        </w:rPr>
        <w:t xml:space="preserve">Objective 2: </w:t>
      </w:r>
      <w:r w:rsidRPr="000E1167">
        <w:rPr>
          <w:rFonts w:ascii="Verdana" w:eastAsia="Calibri" w:hAnsi="Verdana"/>
          <w:bCs/>
          <w:i/>
          <w:iCs/>
          <w:sz w:val="20"/>
        </w:rPr>
        <w:t>Describe the prevalence of cognitive impairment in cancer patients and its impact on the cancer trajectory.</w:t>
      </w:r>
    </w:p>
    <w:p w14:paraId="48D453E0" w14:textId="77777777" w:rsidR="000E1167" w:rsidRPr="000E1167" w:rsidRDefault="000E1167" w:rsidP="000E1167">
      <w:pPr>
        <w:pStyle w:val="ListParagraph"/>
        <w:numPr>
          <w:ilvl w:val="0"/>
          <w:numId w:val="8"/>
        </w:numPr>
        <w:spacing w:after="0" w:line="240" w:lineRule="auto"/>
        <w:jc w:val="both"/>
        <w:rPr>
          <w:rFonts w:ascii="Verdana" w:eastAsia="Calibri" w:hAnsi="Verdana"/>
          <w:bCs/>
          <w:i/>
          <w:iCs/>
          <w:sz w:val="20"/>
        </w:rPr>
      </w:pPr>
      <w:r w:rsidRPr="000E1167">
        <w:rPr>
          <w:rFonts w:ascii="Verdana" w:eastAsia="Calibri" w:hAnsi="Verdana"/>
          <w:i/>
          <w:iCs/>
          <w:sz w:val="20"/>
        </w:rPr>
        <w:t xml:space="preserve">Objective 3: </w:t>
      </w:r>
      <w:r w:rsidRPr="000E1167">
        <w:rPr>
          <w:rFonts w:ascii="Verdana" w:eastAsia="Calibri" w:hAnsi="Verdana"/>
          <w:bCs/>
          <w:i/>
          <w:iCs/>
          <w:sz w:val="20"/>
        </w:rPr>
        <w:t>Utilize common screening tools for cognitive impairment.</w:t>
      </w:r>
    </w:p>
    <w:p w14:paraId="14A28242" w14:textId="77777777" w:rsidR="000E1167" w:rsidRPr="000E1167" w:rsidRDefault="000E1167" w:rsidP="000E1167">
      <w:pPr>
        <w:pStyle w:val="ListParagraph"/>
        <w:numPr>
          <w:ilvl w:val="0"/>
          <w:numId w:val="8"/>
        </w:numPr>
        <w:spacing w:after="0" w:line="240" w:lineRule="auto"/>
        <w:jc w:val="both"/>
        <w:rPr>
          <w:rFonts w:ascii="Verdana" w:eastAsia="Calibri" w:hAnsi="Verdana"/>
          <w:bCs/>
          <w:i/>
          <w:iCs/>
          <w:sz w:val="20"/>
        </w:rPr>
      </w:pPr>
      <w:r w:rsidRPr="000E1167">
        <w:rPr>
          <w:rFonts w:ascii="Verdana" w:eastAsia="Calibri" w:hAnsi="Verdana"/>
          <w:i/>
          <w:iCs/>
          <w:sz w:val="20"/>
        </w:rPr>
        <w:t xml:space="preserve">Objective 4: </w:t>
      </w:r>
      <w:r w:rsidRPr="000E1167">
        <w:rPr>
          <w:rFonts w:ascii="Verdana" w:eastAsia="Calibri" w:hAnsi="Verdana"/>
          <w:bCs/>
          <w:i/>
          <w:iCs/>
          <w:sz w:val="20"/>
        </w:rPr>
        <w:t>List supports available for an older adult with cognitive impairment who is starting cancer treatment.</w:t>
      </w:r>
      <w:r>
        <w:rPr>
          <w:rFonts w:ascii="Verdana" w:eastAsia="Calibri" w:hAnsi="Verdana"/>
          <w:bCs/>
          <w:i/>
          <w:iCs/>
          <w:sz w:val="20"/>
        </w:rPr>
        <w:br/>
      </w:r>
    </w:p>
    <w:p w14:paraId="396BD533" w14:textId="79F07A29" w:rsidR="000E1167" w:rsidRPr="000E1167" w:rsidRDefault="000E1167" w:rsidP="000E1167">
      <w:pPr>
        <w:spacing w:line="240" w:lineRule="auto"/>
        <w:jc w:val="both"/>
        <w:rPr>
          <w:rFonts w:ascii="Verdana" w:eastAsia="Calibri" w:hAnsi="Verdana"/>
          <w:bCs/>
          <w:sz w:val="20"/>
        </w:rPr>
      </w:pPr>
      <w:r w:rsidRPr="000E1167">
        <w:rPr>
          <w:rFonts w:ascii="Verdana" w:eastAsia="Calibri" w:hAnsi="Verdana"/>
          <w:bCs/>
          <w:sz w:val="20"/>
        </w:rPr>
        <w:t xml:space="preserve">Dementia is common with increasing age, but </w:t>
      </w:r>
      <w:r w:rsidR="00132B6A">
        <w:rPr>
          <w:rFonts w:ascii="Verdana" w:eastAsia="Calibri" w:hAnsi="Verdana"/>
          <w:bCs/>
          <w:sz w:val="20"/>
        </w:rPr>
        <w:t xml:space="preserve">it </w:t>
      </w:r>
      <w:r w:rsidRPr="000E1167">
        <w:rPr>
          <w:rFonts w:ascii="Verdana" w:eastAsia="Calibri" w:hAnsi="Verdana"/>
          <w:bCs/>
          <w:sz w:val="20"/>
        </w:rPr>
        <w:t>is also often underdiagnosed. Arielle Berger, MD, and Martine Puts, PhD RN, gave an overview outlining the spectrum of cognitive changes occurring with age distinguishing between normal aging and dementia. Although cognitive impairment is common after cancer treatment (17-75%), most is mild to moderate and may be transient in nature.</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1569-8041","author":[{"dropping-particle":"","family":"Kenis","given":"C","non-dropping-particle":"","parse-names":false,"suffix":""},{"dropping-particle":"","family":"Bron","given":"Dominique","non-dropping-particle":"","parse-names":false,"suffix":""},{"dropping-particle":"","family":"Libert","given":"Yves","non-dropping-particle":"","parse-names":false,"suffix":""},{"dropping-particle":"","family":"Decoster","given":"L","non-dropping-particle":"","parse-names":false,"suffix":""},{"dropping-particle":"","family":"Puyvelde","given":"K","non-dropping-particle":"Van","parse-names":false,"suffix":""},{"dropping-particle":"","family":"Scalliet","given":"Pierre","non-dropping-particle":"","parse-names":false,"suffix":""},{"dropping-particle":"","family":"Cornette","given":"P","non-dropping-particle":"","parse-names":false,"suffix":""},{"dropping-particle":"","family":"Pepersack","given":"Thierry","non-dropping-particle":"","parse-names":false,"suffix":""},{"dropping-particle":"","family":"Luce","given":"Sylvie","non-dropping-particle":"","parse-names":false,"suffix":""},{"dropping-particle":"","family":"Langenaeken","given":"C","non-dropping-particle":"","parse-names":false,"suffix":""}],"container-title":"Annals of oncology","id":"ITEM-1","issue":"5","issued":{"date-parts":[["2013"]]},"page":"1306-1312","publisher":"Oxford University Press","title":"Relevance of a systematic geriatric screening and assessment in older patients with cancer: results of a prospective multicentric study","type":"article-journal","volume":"24"},"uris":["http://www.mendeley.com/documents/?uuid=84e3229d-3342-4f54-87cf-b70717d41884"]},{"id":"ITEM-2","itemData":{"ISSN":"0014-2972","author":[{"dropping-particle":"","family":"Willik","given":"Kimberly D","non-dropping-particle":"van der","parse-names":false,"suffix":""},{"dropping-particle":"","family":"Schagen","given":"Sanne B","non-dropping-particle":"","parse-names":false,"suffix":""},{"dropping-particle":"","family":"Ikram","given":"M Arfan","non-dropping-particle":"","parse-names":false,"suffix":""}],"container-title":"European journal of clinical investigation","id":"ITEM-2","issue":"11","issued":{"date-parts":[["2018"]]},"page":"e13019","publisher":"Wiley Online Library","title":"Cancer and dementia: Two sides of the same coin?","type":"article-journal","volume":"48"},"uris":["http://www.mendeley.com/documents/?uuid=7931d2ce-debe-44d4-b354-a4538c336f67"]},{"id":"ITEM-3","itemData":{"ISSN":"0923-7534","author":[{"dropping-particle":"","family":"Lange","given":"Marie","non-dropping-particle":"","parse-names":false,"suffix":""},{"dropping-particle":"","family":"Joly","given":"Florence","non-dropping-particle":"","parse-names":false,"suffix":""},{"dropping-particle":"","family":"Vardy","given":"Janette","non-dropping-particle":"","parse-names":false,"suffix":""},{"dropping-particle":"","family":"Ahles","given":"Tim","non-dropping-particle":"","parse-names":false,"suffix":""},{"dropping-particle":"","family":"Dubois","given":"Martine","non-dropping-particle":"","parse-names":false,"suffix":""},{"dropping-particle":"","family":"Tron","given":"Laure","non-dropping-particle":"","parse-names":false,"suffix":""},{"dropping-particle":"","family":"Winocur","given":"Gordon","non-dropping-particle":"","parse-names":false,"suffix":""},{"dropping-particle":"","family":"Ruiter","given":"M B","non-dropping-particle":"De","parse-names":false,"suffix":""},{"dropping-particle":"","family":"Castel","given":"Hélène","non-dropping-particle":"","parse-names":false,"suffix":""}],"container-title":"Annals of Oncology","id":"ITEM-3","issue":"12","issued":{"date-parts":[["2019"]]},"page":"1925-1940","publisher":"Oxford University Press","title":"Cancer-related cognitive impairment: an update on state of the art, detection, and management strategies in cancer survivors","type":"article-journal","volume":"30"},"uris":["http://www.mendeley.com/documents/?uuid=70871c31-144e-443c-994e-738d528ed677"]}],"mendeley":{"formattedCitation":"&lt;sup&gt;21–23&lt;/sup&gt;","plainTextFormattedCitation":"21–23","previouslyFormattedCitation":"&lt;sup&gt;20–22&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21–23</w:t>
      </w:r>
      <w:r w:rsidRPr="000E1167">
        <w:rPr>
          <w:rFonts w:ascii="Verdana" w:eastAsia="Calibri" w:hAnsi="Verdana"/>
          <w:bCs/>
          <w:sz w:val="20"/>
        </w:rPr>
        <w:fldChar w:fldCharType="end"/>
      </w:r>
      <w:r w:rsidRPr="000E1167">
        <w:rPr>
          <w:rFonts w:ascii="Verdana" w:eastAsia="Calibri" w:hAnsi="Verdana"/>
          <w:bCs/>
          <w:sz w:val="20"/>
        </w:rPr>
        <w:t xml:space="preserve"> Dementia can impact the treatment course, increasing the risk of treatment toxicities and cancer-related mortality.</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1360-7863","author":[{"dropping-particle":"","family":"McWilliams","given":"Lorna","non-dropping-particle":"","parse-names":false,"suffix":""},{"dropping-particle":"","family":"Farrell","given":"Carole","non-dropping-particle":"","parse-names":false,"suffix":""},{"dropping-particle":"","family":"Grande","given":"Gunn","non-dropping-particle":"","parse-names":false,"suffix":""},{"dropping-particle":"","family":"Keady","given":"John","non-dropping-particle":"","parse-names":false,"suffix":""},{"dropping-particle":"","family":"Swarbrick","given":"Caroline","non-dropping-particle":"","parse-names":false,"suffix":""},{"dropping-particle":"","family":"Yorke","given":"Janelle","non-dropping-particle":"","parse-names":false,"suffix":""}],"container-title":"Aging &amp; mental health","id":"ITEM-1","issue":"10","issued":{"date-parts":[["2018"]]},"page":"1254-1271","publisher":"Taylor &amp; Francis","title":"A systematic review of the prevalence of comorbid cancer and dementia and its implications for cancer-related care","type":"article-journal","volume":"22"},"uris":["http://www.mendeley.com/documents/?uuid=aae1cf6a-9270-479a-bdb8-d9e73785baf6"]}],"mendeley":{"formattedCitation":"&lt;sup&gt;24&lt;/sup&gt;","plainTextFormattedCitation":"24","previouslyFormattedCitation":"&lt;sup&gt;23&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24</w:t>
      </w:r>
      <w:r w:rsidRPr="000E1167">
        <w:rPr>
          <w:rFonts w:ascii="Verdana" w:eastAsia="Calibri" w:hAnsi="Verdana"/>
          <w:bCs/>
          <w:sz w:val="20"/>
        </w:rPr>
        <w:fldChar w:fldCharType="end"/>
      </w:r>
      <w:r w:rsidRPr="000E1167">
        <w:rPr>
          <w:rFonts w:ascii="Verdana" w:eastAsia="Calibri" w:hAnsi="Verdana"/>
          <w:bCs/>
          <w:sz w:val="20"/>
        </w:rPr>
        <w:t xml:space="preserve"> Cancer treatments of all modalities can lead to cognitive impairment, though the frequency, degree, and duration of impairment is of great debate within the oncology literature.</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1751-4258","author":[{"dropping-particle":"","family":"Edelstein","given":"Andrew","non-dropping-particle":"","parse-names":false,"suffix":""},{"dropping-particle":"","family":"Pergolizzi","given":"Denise","non-dropping-particle":"","parse-names":false,"suffix":""},{"dropping-particle":"","family":"Alici","given":"Yesne","non-dropping-particle":"","parse-names":false,"suffix":""}],"container-title":"Current opinion in supportive and palliative care","id":"ITEM-1","issue":"1","issued":{"date-parts":[["2017"]]},"page":"60-69","publisher":"Wolters Kluwer","title":"Cancer-related cognitive impairment in older adults","type":"article-journal","volume":"11"},"uris":["http://www.mendeley.com/documents/?uuid=1ed0c9fa-27f1-4be8-9b9c-af0104f1b5a7"]}],"mendeley":{"formattedCitation":"&lt;sup&gt;25&lt;/sup&gt;","plainTextFormattedCitation":"25","previouslyFormattedCitation":"&lt;sup&gt;24&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25</w:t>
      </w:r>
      <w:r w:rsidRPr="000E1167">
        <w:rPr>
          <w:rFonts w:ascii="Verdana" w:eastAsia="Calibri" w:hAnsi="Verdana"/>
          <w:bCs/>
          <w:sz w:val="20"/>
        </w:rPr>
        <w:fldChar w:fldCharType="end"/>
      </w:r>
      <w:r w:rsidRPr="000E1167">
        <w:rPr>
          <w:rFonts w:ascii="Verdana" w:eastAsia="Calibri" w:hAnsi="Verdana"/>
          <w:bCs/>
          <w:sz w:val="20"/>
        </w:rPr>
        <w:t xml:space="preserve"> Identification of a power of attorney and support for the patient and caregivers was emphasized. </w:t>
      </w:r>
    </w:p>
    <w:p w14:paraId="78DEDA58" w14:textId="77777777" w:rsidR="000E1167" w:rsidRPr="000E1167" w:rsidRDefault="000E1167" w:rsidP="000E1167">
      <w:pPr>
        <w:spacing w:line="240" w:lineRule="auto"/>
        <w:jc w:val="both"/>
        <w:rPr>
          <w:rFonts w:ascii="Verdana" w:eastAsia="Calibri" w:hAnsi="Verdana"/>
          <w:bCs/>
          <w:sz w:val="20"/>
        </w:rPr>
      </w:pPr>
      <w:r w:rsidRPr="000E1167">
        <w:rPr>
          <w:rFonts w:ascii="Verdana" w:eastAsia="Calibri" w:hAnsi="Verdana"/>
          <w:sz w:val="20"/>
        </w:rPr>
        <w:t>S</w:t>
      </w:r>
      <w:r w:rsidRPr="000E1167">
        <w:rPr>
          <w:rFonts w:ascii="Verdana" w:eastAsia="Calibri" w:hAnsi="Verdana"/>
          <w:bCs/>
          <w:sz w:val="20"/>
        </w:rPr>
        <w:t xml:space="preserve">creening tools for cognitive impairment were highlighted and practiced including the Mini-Mental Status Exam (MMSE), Montreal </w:t>
      </w:r>
      <w:proofErr w:type="spellStart"/>
      <w:r w:rsidRPr="000E1167">
        <w:rPr>
          <w:rFonts w:ascii="Verdana" w:eastAsia="Calibri" w:hAnsi="Verdana"/>
          <w:bCs/>
          <w:sz w:val="20"/>
        </w:rPr>
        <w:t>Cognitve</w:t>
      </w:r>
      <w:proofErr w:type="spellEnd"/>
      <w:r w:rsidRPr="000E1167">
        <w:rPr>
          <w:rFonts w:ascii="Verdana" w:eastAsia="Calibri" w:hAnsi="Verdana"/>
          <w:bCs/>
          <w:sz w:val="20"/>
        </w:rPr>
        <w:t xml:space="preserve"> Assessment (</w:t>
      </w:r>
      <w:proofErr w:type="spellStart"/>
      <w:r w:rsidRPr="000E1167">
        <w:rPr>
          <w:rFonts w:ascii="Verdana" w:eastAsia="Calibri" w:hAnsi="Verdana"/>
          <w:bCs/>
          <w:sz w:val="20"/>
        </w:rPr>
        <w:t>MoCA</w:t>
      </w:r>
      <w:proofErr w:type="spellEnd"/>
      <w:r w:rsidRPr="000E1167">
        <w:rPr>
          <w:rFonts w:ascii="Verdana" w:eastAsia="Calibri" w:hAnsi="Verdana"/>
          <w:bCs/>
          <w:sz w:val="20"/>
        </w:rPr>
        <w:t>), Mini-Cog, and Rowland Universal Dementia Assessment Scale (RUDAS).</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1751-4258","author":[{"dropping-particle":"","family":"Edelstein","given":"Andrew","non-dropping-particle":"","parse-names":false,"suffix":""},{"dropping-particle":"","family":"Pergolizzi","given":"Denise","non-dropping-particle":"","parse-names":false,"suffix":""},{"dropping-particle":"","family":"Alici","given":"Yesne","non-dropping-particle":"","parse-names":false,"suffix":""}],"container-title":"Current opinion in supportive and palliative care","id":"ITEM-1","issue":"1","issued":{"date-parts":[["2017"]]},"page":"60-69","publisher":"Wolters Kluwer","title":"Cancer-related cognitive impairment in older adults","type":"article-journal","volume":"11"},"uris":["http://www.mendeley.com/documents/?uuid=1ed0c9fa-27f1-4be8-9b9c-af0104f1b5a7"]}],"mendeley":{"formattedCitation":"&lt;sup&gt;25&lt;/sup&gt;","plainTextFormattedCitation":"25","previouslyFormattedCitation":"&lt;sup&gt;24&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25</w:t>
      </w:r>
      <w:r w:rsidRPr="000E1167">
        <w:rPr>
          <w:rFonts w:ascii="Verdana" w:eastAsia="Calibri" w:hAnsi="Verdana"/>
          <w:bCs/>
          <w:sz w:val="20"/>
        </w:rPr>
        <w:fldChar w:fldCharType="end"/>
      </w:r>
      <w:r w:rsidRPr="000E1167">
        <w:rPr>
          <w:rFonts w:ascii="Verdana" w:eastAsia="Calibri" w:hAnsi="Verdana"/>
          <w:bCs/>
          <w:sz w:val="20"/>
        </w:rPr>
        <w:t xml:space="preserve"> </w:t>
      </w:r>
    </w:p>
    <w:p w14:paraId="186B537D" w14:textId="77777777" w:rsidR="000E1167" w:rsidRPr="000E1167" w:rsidRDefault="000E1167" w:rsidP="000E1167">
      <w:pPr>
        <w:spacing w:line="240" w:lineRule="auto"/>
        <w:ind w:left="360"/>
        <w:jc w:val="both"/>
        <w:rPr>
          <w:rFonts w:ascii="Verdana" w:eastAsia="Calibri" w:hAnsi="Verdana"/>
          <w:b/>
          <w:sz w:val="20"/>
        </w:rPr>
      </w:pPr>
      <w:r w:rsidRPr="000E1167">
        <w:rPr>
          <w:rFonts w:ascii="Verdana" w:eastAsia="Calibri" w:hAnsi="Verdana"/>
          <w:b/>
          <w:sz w:val="20"/>
        </w:rPr>
        <w:t xml:space="preserve">Workshop 2: </w:t>
      </w:r>
      <w:proofErr w:type="spellStart"/>
      <w:r w:rsidRPr="000E1167">
        <w:rPr>
          <w:rFonts w:ascii="Verdana" w:eastAsia="Calibri" w:hAnsi="Verdana"/>
          <w:b/>
          <w:sz w:val="20"/>
        </w:rPr>
        <w:t>Prehabilitation</w:t>
      </w:r>
      <w:proofErr w:type="spellEnd"/>
      <w:r w:rsidRPr="000E1167">
        <w:rPr>
          <w:rFonts w:ascii="Verdana" w:eastAsia="Calibri" w:hAnsi="Verdana"/>
          <w:b/>
          <w:sz w:val="20"/>
        </w:rPr>
        <w:t xml:space="preserve"> and the preoperative assessment in older adults with cancer</w:t>
      </w:r>
    </w:p>
    <w:p w14:paraId="686E9D14" w14:textId="77777777" w:rsidR="000E1167" w:rsidRPr="000E1167" w:rsidRDefault="000E1167" w:rsidP="000E1167">
      <w:pPr>
        <w:pStyle w:val="ListParagraph"/>
        <w:numPr>
          <w:ilvl w:val="0"/>
          <w:numId w:val="9"/>
        </w:numPr>
        <w:spacing w:after="0" w:line="240" w:lineRule="auto"/>
        <w:jc w:val="both"/>
        <w:rPr>
          <w:rFonts w:ascii="Verdana" w:eastAsia="Calibri" w:hAnsi="Verdana"/>
          <w:bCs/>
          <w:i/>
          <w:iCs/>
          <w:sz w:val="20"/>
        </w:rPr>
      </w:pPr>
      <w:r w:rsidRPr="000E1167">
        <w:rPr>
          <w:rFonts w:ascii="Verdana" w:eastAsia="Calibri" w:hAnsi="Verdana"/>
          <w:i/>
          <w:iCs/>
          <w:sz w:val="20"/>
        </w:rPr>
        <w:t>Objective 1:</w:t>
      </w:r>
      <w:r w:rsidRPr="000E1167">
        <w:rPr>
          <w:rFonts w:ascii="Verdana" w:eastAsia="Calibri" w:hAnsi="Verdana"/>
          <w:sz w:val="20"/>
        </w:rPr>
        <w:t xml:space="preserve"> </w:t>
      </w:r>
      <w:r w:rsidRPr="000E1167">
        <w:rPr>
          <w:rFonts w:ascii="Verdana" w:eastAsia="Calibri" w:hAnsi="Verdana"/>
          <w:bCs/>
          <w:i/>
          <w:iCs/>
          <w:sz w:val="20"/>
        </w:rPr>
        <w:t xml:space="preserve">Understand the value and approaches to preoperative assessment. </w:t>
      </w:r>
    </w:p>
    <w:p w14:paraId="768CEAB8" w14:textId="77777777" w:rsidR="000E1167" w:rsidRPr="000E1167" w:rsidRDefault="000E1167" w:rsidP="000E1167">
      <w:pPr>
        <w:pStyle w:val="ListParagraph"/>
        <w:numPr>
          <w:ilvl w:val="0"/>
          <w:numId w:val="9"/>
        </w:numPr>
        <w:spacing w:after="0" w:line="240" w:lineRule="auto"/>
        <w:jc w:val="both"/>
        <w:rPr>
          <w:rFonts w:ascii="Verdana" w:eastAsia="Calibri" w:hAnsi="Verdana"/>
          <w:bCs/>
          <w:i/>
          <w:iCs/>
          <w:sz w:val="20"/>
        </w:rPr>
      </w:pPr>
      <w:r w:rsidRPr="000E1167">
        <w:rPr>
          <w:rFonts w:ascii="Verdana" w:eastAsia="Calibri" w:hAnsi="Verdana"/>
          <w:i/>
          <w:iCs/>
          <w:sz w:val="20"/>
        </w:rPr>
        <w:t>Objective 2:</w:t>
      </w:r>
      <w:r w:rsidRPr="000E1167">
        <w:rPr>
          <w:rFonts w:ascii="Verdana" w:eastAsia="Calibri" w:hAnsi="Verdana"/>
          <w:sz w:val="20"/>
        </w:rPr>
        <w:t xml:space="preserve"> </w:t>
      </w:r>
      <w:r w:rsidRPr="000E1167">
        <w:rPr>
          <w:rFonts w:ascii="Verdana" w:eastAsia="Calibri" w:hAnsi="Verdana"/>
          <w:bCs/>
          <w:i/>
          <w:iCs/>
          <w:sz w:val="20"/>
        </w:rPr>
        <w:t xml:space="preserve">Be familiar with the evidence and approaches to surgical </w:t>
      </w:r>
      <w:proofErr w:type="spellStart"/>
      <w:r w:rsidRPr="000E1167">
        <w:rPr>
          <w:rFonts w:ascii="Verdana" w:eastAsia="Calibri" w:hAnsi="Verdana"/>
          <w:bCs/>
          <w:i/>
          <w:iCs/>
          <w:sz w:val="20"/>
        </w:rPr>
        <w:t>prehabilitation</w:t>
      </w:r>
      <w:proofErr w:type="spellEnd"/>
      <w:r w:rsidRPr="000E1167">
        <w:rPr>
          <w:rFonts w:ascii="Verdana" w:eastAsia="Calibri" w:hAnsi="Verdana"/>
          <w:bCs/>
          <w:i/>
          <w:iCs/>
          <w:sz w:val="20"/>
        </w:rPr>
        <w:t xml:space="preserve">. </w:t>
      </w:r>
    </w:p>
    <w:p w14:paraId="1715889C" w14:textId="77777777" w:rsidR="000E1167" w:rsidRDefault="000E1167" w:rsidP="000E1167">
      <w:pPr>
        <w:pStyle w:val="ListParagraph"/>
        <w:numPr>
          <w:ilvl w:val="0"/>
          <w:numId w:val="9"/>
        </w:numPr>
        <w:spacing w:after="0" w:line="240" w:lineRule="auto"/>
        <w:jc w:val="both"/>
        <w:rPr>
          <w:rFonts w:ascii="Verdana" w:eastAsia="Calibri" w:hAnsi="Verdana"/>
          <w:bCs/>
          <w:i/>
          <w:iCs/>
          <w:sz w:val="20"/>
        </w:rPr>
      </w:pPr>
      <w:r w:rsidRPr="000E1167">
        <w:rPr>
          <w:rFonts w:ascii="Verdana" w:eastAsia="Calibri" w:hAnsi="Verdana"/>
          <w:i/>
          <w:iCs/>
          <w:sz w:val="20"/>
        </w:rPr>
        <w:t xml:space="preserve">Objective 3: </w:t>
      </w:r>
      <w:r w:rsidRPr="000E1167">
        <w:rPr>
          <w:rFonts w:ascii="Verdana" w:eastAsia="Calibri" w:hAnsi="Verdana"/>
          <w:bCs/>
          <w:i/>
          <w:iCs/>
          <w:sz w:val="20"/>
        </w:rPr>
        <w:t xml:space="preserve">Appreciate the contributions and collaborations of surgeons and geriatricians to preoperative assessment and </w:t>
      </w:r>
      <w:proofErr w:type="spellStart"/>
      <w:r w:rsidRPr="000E1167">
        <w:rPr>
          <w:rFonts w:ascii="Verdana" w:eastAsia="Calibri" w:hAnsi="Verdana"/>
          <w:bCs/>
          <w:i/>
          <w:iCs/>
          <w:sz w:val="20"/>
        </w:rPr>
        <w:t>prehabilitation</w:t>
      </w:r>
      <w:proofErr w:type="spellEnd"/>
      <w:r w:rsidRPr="000E1167">
        <w:rPr>
          <w:rFonts w:ascii="Verdana" w:eastAsia="Calibri" w:hAnsi="Verdana"/>
          <w:bCs/>
          <w:i/>
          <w:iCs/>
          <w:sz w:val="20"/>
        </w:rPr>
        <w:t>.</w:t>
      </w:r>
    </w:p>
    <w:p w14:paraId="198B6FC2" w14:textId="77777777" w:rsidR="00132B6A" w:rsidRPr="000E1167" w:rsidRDefault="00132B6A" w:rsidP="008D2878">
      <w:pPr>
        <w:pStyle w:val="ListParagraph"/>
        <w:spacing w:after="0" w:line="240" w:lineRule="auto"/>
        <w:jc w:val="both"/>
        <w:rPr>
          <w:rFonts w:ascii="Verdana" w:eastAsia="Calibri" w:hAnsi="Verdana"/>
          <w:bCs/>
          <w:i/>
          <w:iCs/>
          <w:sz w:val="20"/>
        </w:rPr>
      </w:pPr>
    </w:p>
    <w:p w14:paraId="30269493" w14:textId="77777777" w:rsidR="000E1167" w:rsidRPr="000E1167" w:rsidRDefault="000E1167" w:rsidP="008D2878">
      <w:pPr>
        <w:spacing w:line="240" w:lineRule="auto"/>
        <w:jc w:val="both"/>
        <w:rPr>
          <w:rFonts w:ascii="Verdana" w:eastAsia="Calibri" w:hAnsi="Verdana"/>
          <w:bCs/>
          <w:sz w:val="20"/>
        </w:rPr>
      </w:pPr>
      <w:r w:rsidRPr="000E1167">
        <w:rPr>
          <w:rFonts w:ascii="Verdana" w:eastAsia="Calibri" w:hAnsi="Verdana"/>
          <w:bCs/>
          <w:sz w:val="20"/>
        </w:rPr>
        <w:t>Tyler Chesney, MD MSc, highlighted how geriatric screening and comprehensive geriatric assessments are also relevant to surgery. Both standard disease-based assessments and geriatric</w:t>
      </w:r>
      <w:r>
        <w:rPr>
          <w:rFonts w:ascii="Verdana" w:eastAsia="Calibri" w:hAnsi="Verdana"/>
          <w:bCs/>
          <w:sz w:val="20"/>
        </w:rPr>
        <w:t xml:space="preserve">-specific assessments should be </w:t>
      </w:r>
      <w:proofErr w:type="spellStart"/>
      <w:r w:rsidRPr="000E1167">
        <w:rPr>
          <w:rFonts w:ascii="Verdana" w:eastAsia="Calibri" w:hAnsi="Verdana"/>
          <w:bCs/>
          <w:sz w:val="20"/>
        </w:rPr>
        <w:t>synthesised</w:t>
      </w:r>
      <w:proofErr w:type="spellEnd"/>
      <w:r w:rsidRPr="000E1167">
        <w:rPr>
          <w:rFonts w:ascii="Verdana" w:eastAsia="Calibri" w:hAnsi="Verdana"/>
          <w:bCs/>
          <w:sz w:val="20"/>
        </w:rPr>
        <w:t xml:space="preserve"> with patients’ values and goals to generate patient-</w:t>
      </w:r>
      <w:proofErr w:type="spellStart"/>
      <w:r w:rsidRPr="000E1167">
        <w:rPr>
          <w:rFonts w:ascii="Verdana" w:eastAsia="Calibri" w:hAnsi="Verdana"/>
          <w:bCs/>
          <w:sz w:val="20"/>
        </w:rPr>
        <w:t>centred</w:t>
      </w:r>
      <w:proofErr w:type="spellEnd"/>
      <w:r w:rsidRPr="000E1167">
        <w:rPr>
          <w:rFonts w:ascii="Verdana" w:eastAsia="Calibri" w:hAnsi="Verdana"/>
          <w:bCs/>
          <w:sz w:val="20"/>
        </w:rPr>
        <w:t xml:space="preserve"> recommendations.</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1879-4068","author":[{"dropping-particle":"","family":"Festen","given":"Suzanne","non-dropping-particle":"","parse-names":false,"suffix":""},{"dropping-particle":"","family":"Kok","given":"Maaike","non-dropping-particle":"","parse-names":false,"suffix":""},{"dropping-particle":"","family":"Hopstaken","given":"Jana S","non-dropping-particle":"","parse-names":false,"suffix":""},{"dropping-particle":"","family":"Wal-Huisman","given":"Hanneke","non-dropping-particle":"van der","parse-names":false,"suffix":""},{"dropping-particle":"","family":"Leest","given":"Annya","non-dropping-particle":"van der","parse-names":false,"suffix":""},{"dropping-particle":"","family":"Reyners","given":"Anna K L","non-dropping-particle":"","parse-names":false,"suffix":""},{"dropping-particle":"","family":"Bock","given":"Geertruida H","non-dropping-particle":"de","parse-names":false,"suffix":""},{"dropping-particle":"","family":"Graeff","given":"Pauline","non-dropping-particle":"de","parse-names":false,"suffix":""},{"dropping-particle":"","family":"Leeuwen","given":"Barbara L","non-dropping-particle":"van","parse-names":false,"suffix":""}],"container-title":"Journal of geriatric oncology","id":"ITEM-1","issue":"6","issued":{"date-parts":[["2019"]]},"page":"951-959","publisher":"Elsevier","title":"How to incorporate geriatric assessment in clinical decision-making for older patients with cancer. An implementation study","type":"article-journal","volume":"10"},"uris":["http://www.mendeley.com/documents/?uuid=165796fa-3551-4282-a32c-6f23d5134d5f"]}],"mendeley":{"formattedCitation":"&lt;sup&gt;26&lt;/sup&gt;","plainTextFormattedCitation":"26","previouslyFormattedCitation":"&lt;sup&gt;25&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26</w:t>
      </w:r>
      <w:r w:rsidRPr="000E1167">
        <w:rPr>
          <w:rFonts w:ascii="Verdana" w:eastAsia="Calibri" w:hAnsi="Verdana"/>
          <w:bCs/>
          <w:sz w:val="20"/>
        </w:rPr>
        <w:fldChar w:fldCharType="end"/>
      </w:r>
      <w:r w:rsidRPr="000E1167">
        <w:rPr>
          <w:rFonts w:ascii="Verdana" w:eastAsia="Calibri" w:hAnsi="Verdana"/>
          <w:bCs/>
          <w:sz w:val="20"/>
        </w:rPr>
        <w:t xml:space="preserve"> Clinical judgment alone should be avoided as this often misattributes the degree of risk and benefit from surgery. Geriatric assessment enables more accurate risk stratification, identification of unrecognized deficits, and anticipates postoperative recovery needs.</w:t>
      </w:r>
      <w:r w:rsidRPr="000E1167">
        <w:rPr>
          <w:rFonts w:ascii="Verdana" w:hAnsi="Verdana"/>
          <w:sz w:val="20"/>
        </w:rPr>
        <w:fldChar w:fldCharType="begin" w:fldLock="1"/>
      </w:r>
      <w:r w:rsidRPr="000E1167">
        <w:rPr>
          <w:rFonts w:ascii="Verdana" w:hAnsi="Verdana"/>
          <w:sz w:val="20"/>
        </w:rPr>
        <w:instrText>ADDIN CSL_CITATION {"citationItems":[{"id":"ITEM-1","itemData":{"author":[{"dropping-particle":"","family":"Caillet","given":"Philippe","non-dropping-particle":"","parse-names":false,"suffix":""},{"dropping-particle":"","family":"Laurent","given":"Marie","non-dropping-particle":"","parse-names":false,"suffix":""},{"dropping-particle":"","family":"Bastuji-Garin","given":"Sylvie","non-dropping-particle":"","parse-names":false,"suffix":""},{"dropping-particle":"","family":"Liuu","given":"Evelyne","non-dropping-particle":"","parse-names":false,"suffix":""},{"dropping-particle":"","family":"Culine","given":"Stephane","non-dropping-particle":"","parse-names":false,"suffix":""},{"dropping-particle":"","family":"Lagrange","given":"Jean-Leon","non-dropping-particle":"","parse-names":false,"suffix":""},{"dropping-particle":"","family":"Canoui-Poitrine","given":"Florence","non-dropping-particle":"","parse-names":false,"suffix":""},{"dropping-particle":"","family":"Paillaud","given":"Elena","non-dropping-particle":"","parse-names":false,"suffix":""}],"container-title":"Clinical interventions in aging","id":"ITEM-1","issued":{"date-parts":[["2014"]]},"page":"1645","publisher":"Dove Press","title":"Optimal management of elderly cancer patients: usefulness of the Comprehensive Geriatric Assessment","type":"article-journal","volume":"9"},"uris":["http://www.mendeley.com/documents/?uuid=b9618f87-78e0-46fb-91a8-c1f1a1777e6b"]},{"id":"ITEM-2","itemData":{"DOI":"10.1016/j.jgo.2018.03.014","ISSN":"1879-4076 (Electronic)","PMID":"29631898","abstract":"AIM: The aim of this systematic review is to summarise all available data on the  effect of a geriatric evaluation on the multidisciplinary treatment of older cancer patients, focussing on oncologic treatment decisions, the implementation of non-oncologic interventions and the impact on treatment outcome. METHODS: A systematic search in MEDLINE and EMBASE for studies on the effect of a geriatric evaluation on oncologic and non-oncologic treatment decisions and outcome for older cancer patients. RESULTS: 36 publications from 35 studies were included. After a geriatric evaluation, the oncologic treatment plan was altered in a median of 28% of patients (range 8-54%), primarily to a less intensive treatment option. Non-oncologic interventions were recommended in a median of 72% of patients (range 26-100%), most commonly involving social issues (39%), nutritional status (32%) and polypharmacy (31%). Effect on treatment outcome was varying, with a trend towards a positive effect on treatment completion (positive effect in 75% of studies) and treatment-related toxicity/ complications (55% of studies). CONCLUSION: A geriatric evaluation affects oncologic and non-oncologic treatment and appears to improve treatment tolerance and completion for older cancer patients. Fine-tuning the decision-making process for this growing patient population will require more specific and robust data on the effect of a geriatric evaluation on relevant oncologic and non-oncologic outcomes such as survival and quality of life.","author":[{"dropping-particle":"","family":"Hamaker","given":"Marije E","non-dropping-particle":"","parse-names":false,"suffix":""},{"dropping-particle":"","family":"Molder","given":"Marthe","non-dropping-particle":"Te","parse-names":false,"suffix":""},{"dropping-particle":"","family":"Thielen","given":"Noortje","non-dropping-particle":"","parse-names":false,"suffix":""},{"dropping-particle":"","family":"Munster","given":"Barbara C","non-dropping-particle":"van","parse-names":false,"suffix":""},{"dropping-particle":"","family":"Schiphorst","given":"Anandi H","non-dropping-particle":"","parse-names":false,"suffix":""},{"dropping-particle":"","family":"Huis","given":"Lieke H","non-dropping-particle":"van","parse-names":false,"suffix":""}],"container-title":"Journal of geriatric oncology","id":"ITEM-2","issue":"5","issued":{"date-parts":[["2018","9"]]},"language":"eng","page":"430-440","publisher-place":"Netherlands","title":"The effect of a geriatric evaluation on treatment decisions and outcome for older cancer patients - A systematic review.","type":"article-journal","volume":"9"},"uris":["http://www.mendeley.com/documents/?uuid=fc54549d-9a70-456c-bc13-b8da52c81c7f"]},{"id":"ITEM-3","itemData":{"ISSN":"0167-4943","author":[{"dropping-particle":"","family":"Kim","given":"Kwang-il","non-dropping-particle":"","parse-names":false,"suffix":""},{"dropping-particle":"","family":"Park","given":"Kay-Hyun","non-dropping-particle":"","parse-names":false,"suffix":""},{"dropping-particle":"","family":"Koo","given":"Kyung-Hoi","non-dropping-particle":"","parse-names":false,"suffix":""},{"dropping-particle":"","family":"Han","given":"Ho-Seong","non-dropping-particle":"","parse-names":false,"suffix":""},{"dropping-particle":"","family":"Kim","given":"Cheol-Ho","non-dropping-particle":"","parse-names":false,"suffix":""}],"container-title":"Archives of gerontology and geriatrics","id":"ITEM-3","issue":"3","issued":{"date-parts":[["2013"]]},"page":"507-512","publisher":"Elsevier","title":"Comprehensive geriatric assessment can predict postoperative morbidity and mortality in elderly patients undergoing elective surgery","type":"article-journal","volume":"56"},"uris":["http://www.mendeley.com/documents/?uuid=dc071a3b-64de-4ac1-869e-f720e4c712d0"]}],"mendeley":{"formattedCitation":"&lt;sup&gt;11,27,28&lt;/sup&gt;","plainTextFormattedCitation":"11,27,28","previouslyFormattedCitation":"&lt;sup&gt;10,26,27&lt;/sup&gt;"},"properties":{"noteIndex":0},"schema":"https://github.com/citation-style-language/schema/raw/master/csl-citation.json"}</w:instrText>
      </w:r>
      <w:r w:rsidRPr="000E1167">
        <w:rPr>
          <w:rFonts w:ascii="Verdana" w:hAnsi="Verdana"/>
          <w:sz w:val="20"/>
        </w:rPr>
        <w:fldChar w:fldCharType="separate"/>
      </w:r>
      <w:r w:rsidRPr="000E1167">
        <w:rPr>
          <w:rFonts w:ascii="Verdana" w:hAnsi="Verdana"/>
          <w:noProof/>
          <w:sz w:val="20"/>
          <w:vertAlign w:val="superscript"/>
        </w:rPr>
        <w:t>11,27,28</w:t>
      </w:r>
      <w:r w:rsidRPr="000E1167">
        <w:rPr>
          <w:rFonts w:ascii="Verdana" w:hAnsi="Verdana"/>
          <w:sz w:val="20"/>
        </w:rPr>
        <w:fldChar w:fldCharType="end"/>
      </w:r>
      <w:r w:rsidRPr="000E1167">
        <w:rPr>
          <w:rFonts w:ascii="Verdana" w:eastAsia="Calibri" w:hAnsi="Verdana"/>
          <w:bCs/>
          <w:sz w:val="20"/>
        </w:rPr>
        <w:t xml:space="preserve"> The </w:t>
      </w:r>
      <w:hyperlink r:id="rId19" w:history="1">
        <w:r w:rsidRPr="000E1167">
          <w:rPr>
            <w:rStyle w:val="Hyperlink"/>
            <w:rFonts w:ascii="Verdana" w:eastAsia="Calibri" w:hAnsi="Verdana"/>
            <w:bCs/>
            <w:color w:val="C00000"/>
            <w:sz w:val="20"/>
          </w:rPr>
          <w:t>American College of Surgeons’ Surgical Risk Calculator</w:t>
        </w:r>
      </w:hyperlink>
      <w:r w:rsidRPr="000E1167">
        <w:rPr>
          <w:rFonts w:ascii="Verdana" w:eastAsia="Calibri" w:hAnsi="Verdana"/>
          <w:bCs/>
          <w:sz w:val="20"/>
        </w:rPr>
        <w:t xml:space="preserve"> is the most commonly used prognostic model to estimate postoperative outcomes and recently has been updated to include geriatric variables and outcomes.</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{"citationItems":[{"id":"ITEM-1","itemData":{"ISSN":"1072-7515","author":[{"dropping-particle":"","family":"Berian","given":"Julia R","non-dropping-particle":"","parse-names":false,"suffix":""},{"dropping-particle":"","family":"Zhou","given":"Lynn","non-dropping-particle":"","parse-names":false,"suffix":""},{"dropping-particle":"","family":"Hornor","given":"Melissa A","non-dropping-particle":"","parse-names":false,"suffix":""},{"dropping-particle":"","family":"Russell","given":"Marcia M","non-dropping-particle":"","parse-names":false,"suffix":""},{"dropping-particle":"","family":"Cohen","given":"Mark E","non-dropping-particle":"","parse-names":false,"suffix":""},{"dropping-particle":"","family":"Finlayson","given":"Emily","non-dropping-particle":"","parse-names":false,"suffix":""},{"dropping-particle":"","family":"Ko","given":"Clifford Y","non-dropping-particle":"","parse-names":false,"suffix":""},{"dropping-particle":"","family":"Robinson","given":"Thomas N","non-dropping-particle":"","parse-names":false,"suffix":""},{"dropping-particle":"","family":"Rosenthal","given":"Ronnie A","non-dropping-particle":"","parse-names":false,"suffix":""}],"container-title":"Journal of the American College of Surgeons","id":"ITEM-1","issue":"6","issued":{"date-parts":[["2017"]]},"page":"702-712","publisher":"Elsevier","title":"Optimizing surgical quality datasets to care for older adults: lessons from the American College of Surgeons NSQIP Geriatric Surgery Pilot","type":"article-journal","volume":"225"},"uris":["http://www.mendeley.com/documents/?uuid=e6cdacf8-d35d-4fc7-9544-ab0949dcee79"]}],"mendeley":{"formattedCitation":"&lt;sup&gt;29&lt;/sup&gt;","plainTextFormattedCitation":"29","previouslyFormattedCitation":"&lt;sup&gt;28&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29</w:t>
      </w:r>
      <w:r w:rsidRPr="000E1167">
        <w:rPr>
          <w:rFonts w:ascii="Verdana" w:eastAsia="Calibri" w:hAnsi="Verdana"/>
          <w:bCs/>
          <w:sz w:val="20"/>
        </w:rPr>
        <w:fldChar w:fldCharType="end"/>
      </w:r>
      <w:r w:rsidRPr="000E1167">
        <w:rPr>
          <w:rFonts w:ascii="Verdana" w:eastAsia="Calibri" w:hAnsi="Verdana"/>
          <w:bCs/>
          <w:sz w:val="20"/>
        </w:rPr>
        <w:t xml:space="preserve"> </w:t>
      </w:r>
    </w:p>
    <w:p w14:paraId="531EA551" w14:textId="77777777" w:rsidR="000E1167" w:rsidRPr="000E1167" w:rsidRDefault="000E1167" w:rsidP="000E1167">
      <w:pPr>
        <w:spacing w:line="240" w:lineRule="auto"/>
        <w:jc w:val="both"/>
        <w:rPr>
          <w:rFonts w:ascii="Verdana" w:eastAsia="Calibri" w:hAnsi="Verdana"/>
          <w:bCs/>
          <w:sz w:val="20"/>
        </w:rPr>
      </w:pPr>
      <w:r w:rsidRPr="000E1167">
        <w:rPr>
          <w:rFonts w:ascii="Verdana" w:eastAsia="Calibri" w:hAnsi="Verdana"/>
          <w:bCs/>
          <w:sz w:val="20"/>
        </w:rPr>
        <w:t xml:space="preserve">Daniel Santa Mina, PhD, presented data on cancer </w:t>
      </w:r>
      <w:proofErr w:type="spellStart"/>
      <w:r w:rsidRPr="000E1167">
        <w:rPr>
          <w:rFonts w:ascii="Verdana" w:eastAsia="Calibri" w:hAnsi="Verdana"/>
          <w:bCs/>
          <w:sz w:val="20"/>
        </w:rPr>
        <w:t>prehabilitation</w:t>
      </w:r>
      <w:proofErr w:type="spellEnd"/>
      <w:r w:rsidRPr="000E1167">
        <w:rPr>
          <w:rFonts w:ascii="Verdana" w:eastAsia="Calibri" w:hAnsi="Verdana"/>
          <w:bCs/>
          <w:sz w:val="20"/>
        </w:rPr>
        <w:t>, which is a care process that occurs between diagnosis and the beginning of cancer treatment to enhance treatment tolerability and improve outcomes.</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{"citationItems":[{"id":"ITEM-1","itemData":{"ISSN":"0894-9115","author":[{"dropping-particle":"","family":"Silver","given":"Julie K","non-dropping-particle":"","parse-names":false,"suffix":""},{"dropping-particle":"","family":"Baima","given":"Jennifer","non-dropping-particle":"","parse-names":false,"suffix":""}],"container-title":"American journal of physical medicine &amp; rehabilitation","id":"ITEM-1","issue":"8","issued":{"date-parts":[["2013"]]},"page":"715-727","publisher":"LWW","title":"Cancer prehabilitation: an opportunity to decrease treatment-related morbidity, increase cancer treatment options, and improve physical and psychological health outcomes","type":"article-journal","volume":"92"},"uris":["http://www.mendeley.com/documents/?uuid=807bf063-68e9-4ca6-a184-cadd3ae414db"]}],"mendeley":{"formattedCitation":"&lt;sup&gt;30&lt;/sup&gt;","plainTextFormattedCitation":"30","previouslyFormattedCitation":"&lt;sup&gt;29&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30</w:t>
      </w:r>
      <w:r w:rsidRPr="000E1167">
        <w:rPr>
          <w:rFonts w:ascii="Verdana" w:eastAsia="Calibri" w:hAnsi="Verdana"/>
          <w:bCs/>
          <w:sz w:val="20"/>
        </w:rPr>
        <w:fldChar w:fldCharType="end"/>
      </w:r>
      <w:r w:rsidRPr="000E1167">
        <w:rPr>
          <w:rFonts w:ascii="Verdana" w:eastAsia="Calibri" w:hAnsi="Verdana"/>
          <w:bCs/>
          <w:sz w:val="20"/>
        </w:rPr>
        <w:t xml:space="preserve"> Some evidence suggests that </w:t>
      </w:r>
      <w:proofErr w:type="spellStart"/>
      <w:r w:rsidRPr="000E1167">
        <w:rPr>
          <w:rFonts w:ascii="Verdana" w:eastAsia="Calibri" w:hAnsi="Verdana"/>
          <w:bCs/>
          <w:sz w:val="20"/>
        </w:rPr>
        <w:t>prehabilitation</w:t>
      </w:r>
      <w:proofErr w:type="spellEnd"/>
      <w:r w:rsidRPr="000E1167">
        <w:rPr>
          <w:rFonts w:ascii="Verdana" w:eastAsia="Calibri" w:hAnsi="Verdana"/>
          <w:bCs/>
          <w:sz w:val="20"/>
        </w:rPr>
        <w:t xml:space="preserve"> can improve preoperative physical function, reduce healthcare utilization and costs, improve treatment satisfaction, reduce delirium, and decrease postoperative complications.</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{"citationItems":[{"id":"ITEM-1","itemData":{"ISSN":"0031-9406","author":[{"dropping-particle":"","family":"Santa Mina","given":"D","non-dropping-particle":"","parse-names":false,"suffix":""},{"dropping-particle":"","family":"Clarke","given":"Hance","non-dropping-particle":"","parse-names":false,"suffix":""},{"dropping-particle":"","family":"Ritvo","given":"Paul","non-dropping-particle":"","parse-names":false,"suffix":""},{"dropping-particle":"","family":"Leung","given":"Y W","non-dropping-particle":"","parse-names":false,"suffix":""},{"dropping-particle":"","family":"Matthew","given":"A G","non-dropping-particle":"","parse-names":false,"suffix":""},{"dropping-particle":"","family":"Katz","given":"J","non-dropping-particle":"","parse-names":false,"suffix":""},{"dropping-particle":"","family":"Trachtenberg","given":"J","non-dropping-particle":"","parse-names":false,"suffix":""},{"dropping-particle":"","family":"Alibhai","given":"S M H","non-dropping-particle":"","parse-names":false,"suffix":""}],"container-title":"Physiotherapy","id":"ITEM-1","issue":"3","issued":{"date-parts":[["2014"]]},"page":"196-207","publisher":"Elsevier","title":"Effect of total-body prehabilitation on postoperative outcomes: a systematic review and meta-analysis","type":"article-journal","volume":"100"},"uris":["http://www.mendeley.com/documents/?uuid=9240d03e-c241-422e-a5a8-cbd6cb7a101a"]},{"id":"ITEM-2","itemData":{"author":[{"dropping-particle":"","family":"Janssen","given":"T L","non-dropping-particle":"","parse-names":false,"suffix":""},{"dropping-particle":"","family":"Steyerberg","given":"E W","non-dropping-particle":"","parse-names":false,"suffix":""},{"dropping-particle":"","family":"Langenberg","given":"J C M","non-dropping-particle":"","parse-names":false,"suffix":""},{"dropping-particle":"","family":"Hoof-de Lepper","given":"CCHA","non-dropping-particle":"van","parse-names":false,"suffix":""},{"dropping-particle":"","family":"Wielders","given":"D","non-dropping-particle":"","parse-names":false,"suffix":""},{"dropping-particle":"","family":"Seerden","given":"T C J","non-dropping-particle":"","parse-names":false,"suffix":""},{"dropping-particle":"","family":"Lange","given":"D C","non-dropping-particle":"de","parse-names":false,"suffix":""},{"dropping-particle":"","family":"Wijsman","given":"J H","non-dropping-particle":"","parse-names":false,"suffix":""},{"dropping-particle":"","family":"Ho","given":"G H","non-dropping-particle":"","parse-names":false,"suffix":""},{"dropping-particle":"","family":"Gobardhan","given":"P D","non-dropping-particle":"","parse-names":false,"suffix":""}],"container-title":"PloS one","id":"ITEM-2","issue":"6","issued":{"date-parts":[["2019"]]},"publisher":"Public Library of Science","title":"Multimodal prehabilitation to reduce the incidence of delirium and other adverse events in elderly patients undergoing elective major abdominal surgery: An uncontrolled before-and-after study","type":"article-journal","volume":"14"},"uris":["http://www.mendeley.com/documents/?uuid=25d45d7b-84d2-4d2f-898c-a2c978657d5d"]},{"id":"ITEM-3","itemData":{"ISSN":"0003-4932","author":[{"dropping-particle":"","family":"Barberan-Garcia","given":"Anael","non-dropping-particle":"","parse-names":false,"suffix":""},{"dropping-particle":"","family":"Ubré","given":"Marta","non-dropping-particle":"","parse-names":false,"suffix":""},{"dropping-particle":"","family":"Roca","given":"Josep","non-dropping-particle":"","parse-names":false,"suffix":""},{"dropping-particle":"","family":"Lacy","given":"Antonio M","non-dropping-particle":"","parse-names":false,"suffix":""},{"dropping-particle":"","family":"Burgos","given":"Felip","non-dropping-particle":"","parse-names":false,"suffix":""},{"dropping-particle":"","family":"Risco","given":"Raquel","non-dropping-particle":"","parse-names":false,"suffix":""},{"dropping-particle":"","family":"Momblán","given":"Dulce","non-dropping-particle":"","parse-names":false,"suffix":""},{"dropping-particle":"","family":"Balust","given":"Jaume","non-dropping-particle":"","parse-names":false,"suffix":""},{"dropping-particle":"","family":"Blanco","given":"Isabel","non-dropping-particle":"","parse-names":false,"suffix":""},{"dropping-particle":"","family":"Martínez-Pallí","given":"Graciela","non-dropping-particle":"","parse-names":false,"suffix":""}],"container-title":"Annals of surgery","id":"ITEM-3","issue":"1","issued":{"date-parts":[["2018"]]},"page":"50-56","publisher":"LWW","title":"Personalised prehabilitation in high-risk patients undergoing elective major abdominal surgery: a randomized blinded controlled trial","type":"article-journal","volume":"267"},"uris":["http://www.mendeley.com/documents/?uuid=92c3fb35-f6f1-4d26-addd-ca7c7437390f"]},{"id":"ITEM-4","itemData":{"ISSN":"0007-0912","author":[{"dropping-particle":"","family":"Barberan-Garcia","given":"A","non-dropping-particle":"","parse-names":false,"suffix":""},{"dropping-particle":"","family":"Ubre","given":"M","non-dropping-particle":"","parse-names":false,"suffix":""},{"dropping-particle":"","family":"Pascual-Argente","given":"N","non-dropping-particle":"","parse-names":false,"suffix":""},{"dropping-particle":"","family":"Risco","given":"R","non-dropping-particle":"","parse-names":false,"suffix":""},{"dropping-particle":"","family":"Faner","given":"J","non-dropping-particle":"","parse-names":false,"suffix":""},{"dropping-particle":"","family":"Balust","given":"J","non-dropping-particle":"","parse-names":false,"suffix":""},{"dropping-particle":"","family":"Lacy","given":"A M","non-dropping-particle":"","parse-names":false,"suffix":""},{"dropping-particle":"","family":"Puig-Junoy","given":"J","non-dropping-particle":"","parse-names":false,"suffix":""},{"dropping-particle":"","family":"Roca","given":"J","non-dropping-particle":"","parse-names":false,"suffix":""},{"dropping-particle":"","family":"Martinez-Palli","given":"G","non-dropping-particle":"","parse-names":false,"suffix":""}],"container-title":"British journal of anaesthesia","id":"ITEM-4","issue":"4","issued":{"date-parts":[["2019"]]},"page":"450-456","publisher":"Elsevier","title":"Post-discharge impact and cost-consequence analysis of prehabilitation in high-risk patients undergoing major abdominal surgery: secondary results from a randomised controlled trial","type":"article-journal","volume":"123"},"uris":["http://www.mendeley.com/documents/?uuid=b2b2aacb-8669-478a-b811-b96877626c0f"]}],"mendeley":{"formattedCitation":"&lt;sup&gt;31–34&lt;/sup&gt;","plainTextFormattedCitation":"31–34","previouslyFormattedCitation":"&lt;sup&gt;30–33&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31–34</w:t>
      </w:r>
      <w:r w:rsidRPr="000E1167">
        <w:rPr>
          <w:rFonts w:ascii="Verdana" w:eastAsia="Calibri" w:hAnsi="Verdana"/>
          <w:bCs/>
          <w:sz w:val="20"/>
        </w:rPr>
        <w:fldChar w:fldCharType="end"/>
      </w:r>
      <w:r w:rsidRPr="000E1167">
        <w:rPr>
          <w:rFonts w:ascii="Verdana" w:eastAsia="Calibri" w:hAnsi="Verdana"/>
          <w:bCs/>
          <w:sz w:val="20"/>
        </w:rPr>
        <w:t xml:space="preserve"> Multimodality </w:t>
      </w:r>
      <w:proofErr w:type="spellStart"/>
      <w:r w:rsidRPr="000E1167">
        <w:rPr>
          <w:rFonts w:ascii="Verdana" w:eastAsia="Calibri" w:hAnsi="Verdana"/>
          <w:bCs/>
          <w:sz w:val="20"/>
        </w:rPr>
        <w:t>prehabilitation</w:t>
      </w:r>
      <w:proofErr w:type="spellEnd"/>
      <w:r w:rsidRPr="000E1167">
        <w:rPr>
          <w:rFonts w:ascii="Verdana" w:eastAsia="Calibri" w:hAnsi="Verdana"/>
          <w:bCs/>
          <w:sz w:val="20"/>
        </w:rPr>
        <w:t xml:space="preserve"> delivery that considers exercise, nutrition, psychology, and geriatric considerations is likely most beneficial.</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{"citationItems":[{"id":"ITEM-1","itemData":{"ISSN":"1879-4068","author":[{"dropping-particle":"","family":"Santa Mina","given":"Daniel","non-dropping-particle":"","parse-names":false,"suffix":""},{"dropping-particle":"","family":"Alibhai","given":"Shabbir M H","non-dropping-particle":"","parse-names":false,"suffix":""}],"container-title":"Journal of geriatric oncology","id":"ITEM-1","issued":{"date-parts":[["2019"]]},"publisher":"Elsevier","title":"Prehabilitation in geriatric oncology","type":"article-journal"},"uris":["http://www.mendeley.com/documents/?uuid=f6380d72-e5b7-4c85-965a-6b3dd4b457b6"]}],"mendeley":{"formattedCitation":"&lt;sup&gt;35&lt;/sup&gt;","plainTextFormattedCitation":"35","previouslyFormattedCitation":"&lt;sup&gt;34&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35</w:t>
      </w:r>
      <w:r w:rsidRPr="000E1167">
        <w:rPr>
          <w:rFonts w:ascii="Verdana" w:eastAsia="Calibri" w:hAnsi="Verdana"/>
          <w:bCs/>
          <w:sz w:val="20"/>
        </w:rPr>
        <w:fldChar w:fldCharType="end"/>
      </w:r>
      <w:r w:rsidRPr="000E1167">
        <w:rPr>
          <w:rFonts w:ascii="Verdana" w:eastAsia="Calibri" w:hAnsi="Verdana"/>
          <w:bCs/>
          <w:sz w:val="20"/>
        </w:rPr>
        <w:t xml:space="preserve">  </w:t>
      </w:r>
    </w:p>
    <w:p w14:paraId="59B8ED11" w14:textId="77777777" w:rsidR="000E1167" w:rsidRPr="000E1167" w:rsidRDefault="000E1167" w:rsidP="000E1167">
      <w:pPr>
        <w:spacing w:line="240" w:lineRule="auto"/>
        <w:ind w:left="360"/>
        <w:jc w:val="both"/>
        <w:rPr>
          <w:rFonts w:ascii="Verdana" w:eastAsia="Calibri" w:hAnsi="Verdana"/>
          <w:b/>
          <w:sz w:val="20"/>
        </w:rPr>
      </w:pPr>
      <w:r w:rsidRPr="000E1167">
        <w:rPr>
          <w:rFonts w:ascii="Verdana" w:eastAsia="Calibri" w:hAnsi="Verdana"/>
          <w:b/>
          <w:sz w:val="20"/>
        </w:rPr>
        <w:t>Session 3: Best of geriatric oncology</w:t>
      </w:r>
    </w:p>
    <w:p w14:paraId="266B7A72" w14:textId="77777777" w:rsidR="000E1167" w:rsidRPr="000E1167" w:rsidRDefault="000E1167" w:rsidP="000E1167">
      <w:pPr>
        <w:pStyle w:val="ListParagraph"/>
        <w:numPr>
          <w:ilvl w:val="0"/>
          <w:numId w:val="10"/>
        </w:numPr>
        <w:spacing w:after="0" w:line="240" w:lineRule="auto"/>
        <w:jc w:val="both"/>
        <w:rPr>
          <w:rFonts w:ascii="Verdana" w:eastAsia="Calibri" w:hAnsi="Verdana"/>
          <w:bCs/>
          <w:i/>
          <w:iCs/>
          <w:sz w:val="20"/>
        </w:rPr>
      </w:pPr>
      <w:r w:rsidRPr="000E1167">
        <w:rPr>
          <w:rFonts w:ascii="Verdana" w:eastAsia="Calibri" w:hAnsi="Verdana"/>
          <w:i/>
          <w:iCs/>
          <w:sz w:val="20"/>
        </w:rPr>
        <w:t xml:space="preserve">Objective 1: </w:t>
      </w:r>
      <w:r w:rsidRPr="000E1167">
        <w:rPr>
          <w:rFonts w:ascii="Verdana" w:eastAsia="Calibri" w:hAnsi="Verdana"/>
          <w:bCs/>
          <w:i/>
          <w:iCs/>
          <w:sz w:val="20"/>
        </w:rPr>
        <w:t>Review recent literature informing the care of older adults with cancer.</w:t>
      </w:r>
    </w:p>
    <w:p w14:paraId="04453605" w14:textId="77777777" w:rsidR="000E1167" w:rsidRDefault="000E1167" w:rsidP="000E1167">
      <w:pPr>
        <w:pStyle w:val="ListParagraph"/>
        <w:numPr>
          <w:ilvl w:val="0"/>
          <w:numId w:val="10"/>
        </w:numPr>
        <w:spacing w:after="0" w:line="240" w:lineRule="auto"/>
        <w:jc w:val="both"/>
        <w:rPr>
          <w:rFonts w:ascii="Verdana" w:eastAsia="Calibri" w:hAnsi="Verdana"/>
          <w:bCs/>
          <w:i/>
          <w:iCs/>
          <w:sz w:val="20"/>
        </w:rPr>
      </w:pPr>
      <w:r w:rsidRPr="000E1167">
        <w:rPr>
          <w:rFonts w:ascii="Verdana" w:eastAsia="Calibri" w:hAnsi="Verdana"/>
          <w:bCs/>
          <w:i/>
          <w:iCs/>
          <w:sz w:val="20"/>
        </w:rPr>
        <w:t>Objective 2: Discuss the importance and applicability of new evidence in the care of older adults with cancer.</w:t>
      </w:r>
    </w:p>
    <w:p w14:paraId="154B1881" w14:textId="77777777" w:rsidR="00132B6A" w:rsidRPr="000E1167" w:rsidRDefault="00132B6A" w:rsidP="008D2878">
      <w:pPr>
        <w:pStyle w:val="ListParagraph"/>
        <w:spacing w:after="0" w:line="240" w:lineRule="auto"/>
        <w:jc w:val="both"/>
        <w:rPr>
          <w:rFonts w:ascii="Verdana" w:eastAsia="Calibri" w:hAnsi="Verdana"/>
          <w:bCs/>
          <w:i/>
          <w:iCs/>
          <w:sz w:val="20"/>
        </w:rPr>
      </w:pPr>
    </w:p>
    <w:p w14:paraId="6E35FFAE" w14:textId="7CF7DB16" w:rsidR="000E1167" w:rsidRDefault="000E1167" w:rsidP="008D2878">
      <w:pPr>
        <w:spacing w:line="240" w:lineRule="auto"/>
        <w:jc w:val="both"/>
        <w:rPr>
          <w:rFonts w:ascii="Verdana" w:eastAsia="Calibri" w:hAnsi="Verdana"/>
          <w:bCs/>
          <w:sz w:val="20"/>
        </w:rPr>
      </w:pPr>
      <w:r w:rsidRPr="000E1167">
        <w:rPr>
          <w:rFonts w:ascii="Verdana" w:eastAsia="Calibri" w:hAnsi="Verdana"/>
          <w:bCs/>
          <w:sz w:val="20"/>
        </w:rPr>
        <w:t xml:space="preserve">David Dawe, MD MSc, presented a selection of recent research in geriatric oncology, including recommendations made by the </w:t>
      </w:r>
      <w:hyperlink r:id="rId20" w:history="1">
        <w:r w:rsidRPr="000E1167">
          <w:rPr>
            <w:rStyle w:val="Hyperlink"/>
            <w:rFonts w:ascii="Verdana" w:eastAsia="Calibri" w:hAnsi="Verdana"/>
            <w:bCs/>
            <w:color w:val="C00000"/>
            <w:sz w:val="20"/>
          </w:rPr>
          <w:t>American Society of Clinical Oncology supporting geriatric assessment</w:t>
        </w:r>
      </w:hyperlink>
      <w:r w:rsidRPr="000E1167">
        <w:rPr>
          <w:rFonts w:ascii="Verdana" w:eastAsia="Calibri" w:hAnsi="Verdana"/>
          <w:bCs/>
          <w:sz w:val="20"/>
        </w:rPr>
        <w:t xml:space="preserve"> in those patients 65 and over receiving chemotherapy and outlining which tools should be used.</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{"citationItems":[{"id":"ITEM-1","itemData":{"author":[{"dropping-particle":"","family":"Mohile","given":"Supriya G","non-dropping-particle":"","parse-names":false,"suffix":""},{"dropping-particle":"","family":"Dale","given":"William","non-dropping-particle":"","parse-names":false,"suffix":""},{"dropping-particle":"","family":"Somerfield","given":"Mark R","non-dropping-particle":"","parse-names":false,"suffix":""},{"dropping-particle":"","family":"Schonberg","given":"Mara A","non-dropping-particle":"","parse-names":false,"suffix":""},{"dropping-particle":"","family":"Boyd","given":"Cynthia M","non-dropping-particle":"","parse-names":false,"suffix":""},{"dropping-particle":"","family":"Burhenn","given":"Peggy S","non-dropping-particle":"","parse-names":false,"suffix":""},{"dropping-particle":"","family":"Canin","given":"Beverly","non-dropping-particle":"","parse-names":false,"suffix":""},{"dropping-particle":"","family":"Cohen","given":"Harvey Jay","non-dropping-particle":"","parse-names":false,"suffix":""},{"dropping-particle":"","family":"Holmes","given":"Holly M","non-dropping-particle":"","parse-names":false,"suffix":""},{"dropping-particle":"","family":"Hopkins","given":"Judith O","non-dropping-particle":"","parse-names":false,"suffix":""}],"container-title":"Journal of Clinical Oncology","id":"ITEM-1","issue":"22","issued":{"date-parts":[["2018"]]},"page":"2326","publisher":"American Society of Clinical Oncology","title":"Practical assessment and management of vulnerabilities in older patients receiving chemotherapy: ASCO guideline for geriatric oncology","type":"article-journal","volume":"36"},"uris":["http://www.mendeley.com/documents/?uuid=694d95c0-bb85-44ef-880a-f4c9283f5369"]}],"mendeley":{"formattedCitation":"&lt;sup&gt;14&lt;/sup&gt;","plainTextFormattedCitation":"14","previouslyFormattedCitation":"&lt;sup&gt;13&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14</w:t>
      </w:r>
      <w:r w:rsidRPr="000E1167">
        <w:rPr>
          <w:rFonts w:ascii="Verdana" w:eastAsia="Calibri" w:hAnsi="Verdana"/>
          <w:bCs/>
          <w:sz w:val="20"/>
        </w:rPr>
        <w:fldChar w:fldCharType="end"/>
      </w:r>
      <w:r w:rsidRPr="000E1167">
        <w:rPr>
          <w:rFonts w:ascii="Verdana" w:eastAsia="Calibri" w:hAnsi="Verdana"/>
          <w:bCs/>
          <w:sz w:val="20"/>
        </w:rPr>
        <w:t xml:space="preserve"> A phase II randomized trial of geriatric </w:t>
      </w:r>
      <w:r w:rsidRPr="000E1167">
        <w:rPr>
          <w:rFonts w:ascii="Verdana" w:eastAsia="Calibri" w:hAnsi="Verdana"/>
          <w:bCs/>
          <w:sz w:val="20"/>
        </w:rPr>
        <w:lastRenderedPageBreak/>
        <w:t>assessment and management in 61 patients age 70 and over receiving chemotherapy demonstrated improved quality of life at three months and lower mortality at six months, providing further evidence about the value of CGA in oncology patients.</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{"citationItems":[{"id":"ITEM-1","itemData":{"ISSN":"0941-4355","author":[{"dropping-particle":"","family":"Puts","given":"Martine T E","non-dropping-particle":"","parse-names":false,"suffix":""},{"dropping-particle":"","family":"Sattar","given":"Schroder","non-dropping-particle":"","parse-names":false,"suffix":""},{"dropping-particle":"","family":"Kulik","given":"Michael","non-dropping-particle":"","parse-names":false,"suffix":""},{"dropping-particle":"","family":"MacDonald","given":"Mary Ellen","non-dropping-particle":"","parse-names":false,"suffix":""},{"dropping-particle":"","family":"McWatters","given":"Kara","non-dropping-particle":"","parse-names":false,"suffix":""},{"dropping-particle":"","family":"Lee","given":"Katherine","non-dropping-particle":"","parse-names":false,"suffix":""},{"dropping-particle":"","family":"Brennenstuhl","given":"Sarah","non-dropping-particle":"","parse-names":false,"suffix":""},{"dropping-particle":"","family":"Jang","given":"Raymond","non-dropping-particle":"","parse-names":false,"suffix":""},{"dropping-particle":"","family":"Amir","given":"Eitan","non-dropping-particle":"","parse-names":false,"suffix":""},{"dropping-particle":"","family":"Krzyzanowska","given":"Monika K","non-dropping-particle":"","parse-names":false,"suffix":""}],"container-title":"Supportive Care in Cancer","id":"ITEM-1","issue":"1","issued":{"date-parts":[["2018"]]},"page":"109-117","publisher":"Springer","title":"A randomized phase II trial of geriatric assessment and management for older cancer patients","type":"article-journal","volume":"26"},"uris":["http://www.mendeley.com/documents/?uuid=d24a93a5-651f-41ce-8bba-4449dc965d33"]}],"mendeley":{"formattedCitation":"&lt;sup&gt;36&lt;/sup&gt;","plainTextFormattedCitation":"36","previouslyFormattedCitation":"&lt;sup&gt;35&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36</w:t>
      </w:r>
      <w:r w:rsidRPr="000E1167">
        <w:rPr>
          <w:rFonts w:ascii="Verdana" w:eastAsia="Calibri" w:hAnsi="Verdana"/>
          <w:bCs/>
          <w:sz w:val="20"/>
        </w:rPr>
        <w:fldChar w:fldCharType="end"/>
      </w:r>
      <w:r w:rsidRPr="000E1167">
        <w:rPr>
          <w:rFonts w:ascii="Verdana" w:eastAsia="Calibri" w:hAnsi="Verdana"/>
          <w:bCs/>
          <w:sz w:val="20"/>
        </w:rPr>
        <w:t xml:space="preserve"> He also highlighted a large </w:t>
      </w:r>
      <w:hyperlink r:id="rId21" w:history="1">
        <w:r w:rsidRPr="000E1167">
          <w:rPr>
            <w:rStyle w:val="Hyperlink"/>
            <w:rFonts w:ascii="Verdana" w:eastAsia="Calibri" w:hAnsi="Verdana"/>
            <w:bCs/>
            <w:color w:val="C00000"/>
            <w:sz w:val="20"/>
          </w:rPr>
          <w:t>systematic review</w:t>
        </w:r>
      </w:hyperlink>
      <w:r w:rsidRPr="000C6272">
        <w:rPr>
          <w:rStyle w:val="Hyperlink"/>
          <w:rFonts w:ascii="Verdana" w:eastAsia="Calibri" w:hAnsi="Verdana"/>
          <w:bCs/>
          <w:color w:val="auto"/>
          <w:sz w:val="20"/>
          <w:u w:val="none"/>
        </w:rPr>
        <w:t>,</w:t>
      </w:r>
      <w:r w:rsidRPr="000E1167">
        <w:rPr>
          <w:rFonts w:ascii="Verdana" w:eastAsia="Calibri" w:hAnsi="Verdana"/>
          <w:bCs/>
          <w:sz w:val="20"/>
        </w:rPr>
        <w:t xml:space="preserve"> which demonstrated that geriatric assessment results in a change in oncologic treatment in 28% of patients and a recommendation for non-oncologic intervention in 72%.</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{"citationItems":[{"id":"ITEM-1","itemData":{"DOI":"10.1016/j.jgo.2018.03.014","ISSN":"1879-4076 (Electronic)","PMID":"29631898","abstract":"AIM: The aim of this systematic review is to summarise all available data on the  effect of a geriatric evaluation on the multidisciplinary treatment of older cancer patients, focussing on oncologic treatment decisions, the implementation of non-oncologic interventions and the impact on treatment outcome. METHODS: A systematic search in MEDLINE and EMBASE for studies on the effect of a geriatric evaluation on oncologic and non-oncologic treatment decisions and outcome for older cancer patients. RESULTS: 36 publications from 35 studies were included. After a geriatric evaluation, the oncologic treatment plan was altered in a median of 28% of patients (range 8-54%), primarily to a less intensive treatment option. Non-oncologic interventions were recommended in a median of 72% of patients (range 26-100%), most commonly involving social issues (39%), nutritional status (32%) and polypharmacy (31%). Effect on treatment outcome was varying, with a trend towards a positive effect on treatment completion (positive effect in 75% of studies) and treatment-related toxicity/ complications (55% of studies). CONCLUSION: A geriatric evaluation affects oncologic and non-oncologic treatment and appears to improve treatment tolerance and completion for older cancer patients. Fine-tuning the decision-making process for this growing patient population will require more specific and robust data on the effect of a geriatric evaluation on relevant oncologic and non-oncologic outcomes such as survival and quality of life.","author":[{"dropping-particle":"","family":"Hamaker","given":"Marije E","non-dropping-particle":"","parse-names":false,"suffix":""},{"dropping-particle":"","family":"Molder","given":"Marthe","non-dropping-particle":"Te","parse-names":false,"suffix":""},{"dropping-particle":"","family":"Thielen","given":"Noortje","non-dropping-particle":"","parse-names":false,"suffix":""},{"dropping-particle":"","family":"Munster","given":"Barbara C","non-dropping-particle":"van","parse-names":false,"suffix":""},{"dropping-particle":"","family":"Schiphorst","given":"Anandi H","non-dropping-particle":"","parse-names":false,"suffix":""},{"dropping-particle":"","family":"Huis","given":"Lieke H","non-dropping-particle":"van","parse-names":false,"suffix":""}],"container-title":"Journal of geriatric oncology","id":"ITEM-1","issue":"5","issued":{"date-parts":[["2018","9"]]},"language":"eng","page":"430-440","publisher-place":"Netherlands","title":"The effect of a geriatric evaluation on treatment decisions and outcome for older cancer patients - A systematic review.","type":"article-journal","volume":"9"},"uris":["http://www.mendeley.com/documents/?uuid=fc54549d-9a70-456c-bc13-b8da52c81c7f"]}],"mendeley":{"formattedCitation":"&lt;sup&gt;11&lt;/sup&gt;","plainTextFormattedCitation":"11","previouslyFormattedCitation":"&lt;sup&gt;10&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11</w:t>
      </w:r>
      <w:r w:rsidRPr="000E1167">
        <w:rPr>
          <w:rFonts w:ascii="Verdana" w:eastAsia="Calibri" w:hAnsi="Verdana"/>
          <w:bCs/>
          <w:sz w:val="20"/>
        </w:rPr>
        <w:fldChar w:fldCharType="end"/>
      </w:r>
      <w:r w:rsidRPr="000E1167">
        <w:rPr>
          <w:rFonts w:ascii="Verdana" w:eastAsia="Calibri" w:hAnsi="Verdana"/>
          <w:bCs/>
          <w:sz w:val="20"/>
        </w:rPr>
        <w:t xml:space="preserve"> Lastly, a new prognostic model consisting of cancer type (breast vs. other), metastases, gait speed, nutritional status, and performance status, was shown to predict early death within three months which, if further validated, could be used to select patients for chemotherapy vs. supportive care.</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0959-8049","author":[{"dropping-particle":"","family":"Boulahssass","given":"Rabia","non-dropping-particle":"","parse-names":false,"suffix":""},{"dropping-particle":"","family":"Gonfrier","given":"Sebastien","non-dropping-particle":"","parse-names":false,"suffix":""},{"dropping-particle":"","family":"Ferrero","given":"Jean-Marc","non-dropping-particle":"","parse-names":false,"suffix":""},{"dropping-particle":"","family":"Sanchez","given":"Marine","non-dropping-particle":"","parse-names":false,"suffix":""},{"dropping-particle":"","family":"Mari","given":"Véronique","non-dropping-particle":"","parse-names":false,"suffix":""},{"dropping-particle":"","family":"Moranne","given":"Olivier","non-dropping-particle":"","parse-names":false,"suffix":""},{"dropping-particle":"","family":"Rambaud","given":"Cyrielle","non-dropping-particle":"","parse-names":false,"suffix":""},{"dropping-particle":"","family":"Auben","given":"Francine","non-dropping-particle":"","parse-names":false,"suffix":""},{"dropping-particle":"","family":"Bereder","given":"Jean-Marc","non-dropping-particle":"","parse-names":false,"suffix":""},{"dropping-particle":"","family":"Bereder","given":"Isabelle","non-dropping-particle":"","parse-names":false,"suffix":""}],"container-title":"European Journal of Cancer","id":"ITEM-1","issued":{"date-parts":[["2018"]]},"page":"65-74","publisher":"Elsevier","title":"Predicting early death in older adults with cancer","type":"article-journal","volume":"100"},"uris":["http://www.mendeley.com/documents/?uuid=a360ac2b-25fe-4078-a2bd-4d62a8aefa2f"]}],"mendeley":{"formattedCitation":"&lt;sup&gt;37&lt;/sup&gt;","plainTextFormattedCitation":"37","previouslyFormattedCitation":"&lt;sup&gt;36&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37</w:t>
      </w:r>
      <w:r w:rsidRPr="000E1167">
        <w:rPr>
          <w:rFonts w:ascii="Verdana" w:eastAsia="Calibri" w:hAnsi="Verdana"/>
          <w:bCs/>
          <w:sz w:val="20"/>
        </w:rPr>
        <w:fldChar w:fldCharType="end"/>
      </w:r>
      <w:r w:rsidRPr="000E1167">
        <w:rPr>
          <w:rFonts w:ascii="Verdana" w:eastAsia="Calibri" w:hAnsi="Verdana"/>
          <w:bCs/>
          <w:sz w:val="20"/>
        </w:rPr>
        <w:t xml:space="preserve"> </w:t>
      </w:r>
    </w:p>
    <w:p w14:paraId="78846A48" w14:textId="77777777" w:rsidR="000E1167" w:rsidRPr="000E1167" w:rsidRDefault="000E1167" w:rsidP="000E1167">
      <w:pPr>
        <w:spacing w:line="240" w:lineRule="auto"/>
        <w:ind w:left="360"/>
        <w:jc w:val="both"/>
        <w:rPr>
          <w:rFonts w:ascii="Verdana" w:eastAsia="Calibri" w:hAnsi="Verdana"/>
          <w:b/>
          <w:sz w:val="20"/>
        </w:rPr>
      </w:pPr>
      <w:r w:rsidRPr="000E1167">
        <w:rPr>
          <w:rFonts w:ascii="Verdana" w:eastAsia="Calibri" w:hAnsi="Verdana"/>
          <w:b/>
          <w:sz w:val="20"/>
        </w:rPr>
        <w:t>Session 4: Communication, treatment decision-making, and coordination of care</w:t>
      </w:r>
    </w:p>
    <w:p w14:paraId="0AEE5042" w14:textId="77777777" w:rsidR="000E1167" w:rsidRPr="000E1167" w:rsidRDefault="000E1167" w:rsidP="000E1167">
      <w:pPr>
        <w:pStyle w:val="ListParagraph"/>
        <w:numPr>
          <w:ilvl w:val="0"/>
          <w:numId w:val="11"/>
        </w:numPr>
        <w:spacing w:after="0" w:line="240" w:lineRule="auto"/>
        <w:jc w:val="both"/>
        <w:rPr>
          <w:rFonts w:ascii="Verdana" w:eastAsia="Calibri" w:hAnsi="Verdana"/>
          <w:bCs/>
          <w:i/>
          <w:iCs/>
          <w:sz w:val="20"/>
        </w:rPr>
      </w:pPr>
      <w:r w:rsidRPr="000E1167">
        <w:rPr>
          <w:rFonts w:ascii="Verdana" w:eastAsia="Calibri" w:hAnsi="Verdana"/>
          <w:i/>
          <w:iCs/>
          <w:sz w:val="20"/>
        </w:rPr>
        <w:t xml:space="preserve">Objective 1: </w:t>
      </w:r>
      <w:r w:rsidRPr="000E1167">
        <w:rPr>
          <w:rFonts w:ascii="Verdana" w:eastAsia="Calibri" w:hAnsi="Verdana"/>
          <w:bCs/>
          <w:i/>
          <w:iCs/>
          <w:sz w:val="20"/>
        </w:rPr>
        <w:t>Increase awareness of challenges associated with aging that impact communication, treatment decision-making, and coordination of care.</w:t>
      </w:r>
    </w:p>
    <w:p w14:paraId="7389B071" w14:textId="77777777" w:rsidR="000E1167" w:rsidRPr="000E1167" w:rsidRDefault="000E1167" w:rsidP="000E1167">
      <w:pPr>
        <w:pStyle w:val="ListParagraph"/>
        <w:numPr>
          <w:ilvl w:val="0"/>
          <w:numId w:val="11"/>
        </w:numPr>
        <w:spacing w:after="0" w:line="240" w:lineRule="auto"/>
        <w:jc w:val="both"/>
        <w:rPr>
          <w:rFonts w:ascii="Verdana" w:eastAsia="Calibri" w:hAnsi="Verdana"/>
          <w:bCs/>
          <w:sz w:val="20"/>
        </w:rPr>
      </w:pPr>
      <w:r w:rsidRPr="000E1167">
        <w:rPr>
          <w:rFonts w:ascii="Verdana" w:eastAsia="Calibri" w:hAnsi="Verdana"/>
          <w:i/>
          <w:iCs/>
          <w:sz w:val="20"/>
        </w:rPr>
        <w:t xml:space="preserve">Objective 2: </w:t>
      </w:r>
      <w:r w:rsidRPr="000E1167">
        <w:rPr>
          <w:rFonts w:ascii="Verdana" w:eastAsia="Calibri" w:hAnsi="Verdana"/>
          <w:bCs/>
          <w:i/>
          <w:iCs/>
          <w:sz w:val="20"/>
        </w:rPr>
        <w:t>Discuss strategies for optimization of communication, decision-making and coordination.</w:t>
      </w:r>
    </w:p>
    <w:p w14:paraId="0442CF4C" w14:textId="77777777" w:rsidR="000E1167" w:rsidRPr="000E1167" w:rsidRDefault="000C08AE" w:rsidP="000E1167">
      <w:pPr>
        <w:spacing w:line="240" w:lineRule="auto"/>
        <w:jc w:val="both"/>
        <w:rPr>
          <w:rFonts w:ascii="Verdana" w:eastAsia="Calibri" w:hAnsi="Verdana"/>
          <w:sz w:val="20"/>
        </w:rPr>
      </w:pPr>
      <w:r>
        <w:rPr>
          <w:rFonts w:ascii="Verdana" w:eastAsia="Calibri" w:hAnsi="Verdana"/>
          <w:sz w:val="20"/>
        </w:rPr>
        <w:br/>
      </w:r>
      <w:r w:rsidR="000E1167" w:rsidRPr="000E1167">
        <w:rPr>
          <w:rFonts w:ascii="Verdana" w:eastAsia="Calibri" w:hAnsi="Verdana"/>
          <w:sz w:val="20"/>
        </w:rPr>
        <w:t xml:space="preserve">Fay </w:t>
      </w:r>
      <w:proofErr w:type="spellStart"/>
      <w:r w:rsidR="000E1167" w:rsidRPr="000E1167">
        <w:rPr>
          <w:rFonts w:ascii="Verdana" w:eastAsia="Calibri" w:hAnsi="Verdana"/>
          <w:sz w:val="20"/>
        </w:rPr>
        <w:t>Strohschein</w:t>
      </w:r>
      <w:proofErr w:type="spellEnd"/>
      <w:r w:rsidR="000E1167" w:rsidRPr="000E1167">
        <w:rPr>
          <w:rFonts w:ascii="Verdana" w:eastAsia="Calibri" w:hAnsi="Verdana"/>
          <w:sz w:val="20"/>
        </w:rPr>
        <w:t>, RN PhD, highlighted the challenges faced by older patients with cancer including those related to ageism, the heterogeneity of aging, under-representation in studies, and communication. Ageism impacts access, quality of care, and health behaviours.</w:t>
      </w:r>
      <w:r w:rsidR="000E1167" w:rsidRPr="000E1167">
        <w:rPr>
          <w:rFonts w:ascii="Verdana" w:eastAsia="Calibri" w:hAnsi="Verdana"/>
          <w:sz w:val="20"/>
        </w:rPr>
        <w:fldChar w:fldCharType="begin" w:fldLock="1"/>
      </w:r>
      <w:r w:rsidR="000E1167" w:rsidRPr="000E1167">
        <w:rPr>
          <w:rFonts w:ascii="Verdana" w:eastAsia="Calibri" w:hAnsi="Verdana"/>
          <w:sz w:val="20"/>
        </w:rPr>
        <w:instrText>ADDIN CSL_CITATION {"citationItems":[{"id":"ITEM-1","itemData":{"author":[{"dropping-particle":"","family":"Schroyen","given":"Sarah","non-dropping-particle":"","parse-names":false,"suffix":""},{"dropping-particle":"","family":"Adam","given":"Stéphane","non-dropping-particle":"","parse-names":false,"suffix":""},{"dropping-particle":"","family":"Jerusalem","given":"Guy","non-dropping-particle":"","parse-names":false,"suffix":""},{"dropping-particle":"","family":"Missotten","given":"Pierre","non-dropping-particle":"","parse-names":false,"suffix":""}],"container-title":"Clinical interventions in aging","id":"ITEM-1","issued":{"date-parts":[["2015"]]},"page":"117","publisher":"Dove Press","title":"Ageism and its clinical impact in oncogeriatry: state of knowledge and therapeutic leads","type":"article-journal","volume":"10"},"uris":["http://www.mendeley.com/documents/?uuid=1b722794-23ec-49c0-abcc-07493138435c"]}],"mendeley":{"formattedCitation":"&lt;sup&gt;38&lt;/sup&gt;","plainTextFormattedCitation":"38","previouslyFormattedCitation":"&lt;sup&gt;37&lt;/sup&gt;"},"properties":{"noteIndex":0},"schema":"https://github.com/citation-style-language/schema/raw/master/csl-citation.json"}</w:instrText>
      </w:r>
      <w:r w:rsidR="000E1167" w:rsidRPr="000E1167">
        <w:rPr>
          <w:rFonts w:ascii="Verdana" w:eastAsia="Calibri" w:hAnsi="Verdana"/>
          <w:sz w:val="20"/>
        </w:rPr>
        <w:fldChar w:fldCharType="separate"/>
      </w:r>
      <w:r w:rsidR="000E1167" w:rsidRPr="000E1167">
        <w:rPr>
          <w:rFonts w:ascii="Verdana" w:eastAsia="Calibri" w:hAnsi="Verdana"/>
          <w:noProof/>
          <w:sz w:val="20"/>
          <w:vertAlign w:val="superscript"/>
        </w:rPr>
        <w:t>38</w:t>
      </w:r>
      <w:r w:rsidR="000E1167" w:rsidRPr="000E1167">
        <w:rPr>
          <w:rFonts w:ascii="Verdana" w:eastAsia="Calibri" w:hAnsi="Verdana"/>
          <w:sz w:val="20"/>
        </w:rPr>
        <w:fldChar w:fldCharType="end"/>
      </w:r>
      <w:r w:rsidR="000E1167" w:rsidRPr="000E1167">
        <w:rPr>
          <w:rFonts w:ascii="Verdana" w:eastAsia="Calibri" w:hAnsi="Verdana"/>
          <w:sz w:val="20"/>
        </w:rPr>
        <w:t xml:space="preserve"> Systemic and subtle ageism includes exclusion from research with need to extrapolate results from younger adults, inaccessibility of healthcare environments, and poorly integrated care. Almost half of older adults with cancer experience difficulties with communication with healthcare providers.</w:t>
      </w:r>
      <w:r w:rsidR="000E1167" w:rsidRPr="000E1167">
        <w:rPr>
          <w:rFonts w:ascii="Verdana" w:eastAsia="Calibri" w:hAnsi="Verdana"/>
          <w:sz w:val="20"/>
        </w:rPr>
        <w:fldChar w:fldCharType="begin" w:fldLock="1"/>
      </w:r>
      <w:r w:rsidR="000E1167" w:rsidRPr="000E1167">
        <w:rPr>
          <w:rFonts w:ascii="Verdana" w:eastAsia="Calibri" w:hAnsi="Verdana"/>
          <w:sz w:val="20"/>
        </w:rPr>
        <w:instrText>ADDIN CSL_CITATION {"citationItems":[{"id":"ITEM-1","itemData":{"ISSN":"0738-3991","author":[{"dropping-particle":"","family":"Noordman","given":"Janneke","non-dropping-particle":"","parse-names":false,"suffix":""},{"dropping-particle":"","family":"Driesenaar","given":"Jeanine A","non-dropping-particle":"","parse-names":false,"suffix":""},{"dropping-particle":"","family":"Henselmans","given":"Inge","non-dropping-particle":"","parse-names":false,"suffix":""},{"dropping-particle":"","family":"Verboom","given":"Jedidja","non-dropping-particle":"","parse-names":false,"suffix":""},{"dropping-particle":"","family":"Heijmans","given":"Monique","non-dropping-particle":"","parse-names":false,"suffix":""},{"dropping-particle":"","family":"Dulmen","given":"Sandra","non-dropping-particle":"van","parse-names":false,"suffix":""}],"container-title":"Patient education and counseling","id":"ITEM-1","issue":"12","issued":{"date-parts":[["2017"]]},"page":"2262-2268","publisher":"Elsevier","title":"Patient participation during oncological encounters: Barriers and need for supportive interventions experienced by elderly cancer patients","type":"article-journal","volume":"100"},"uris":["http://www.mendeley.com/documents/?uuid=db8e3976-0ea1-4d51-8c4e-d23cee803839"]}],"mendeley":{"formattedCitation":"&lt;sup&gt;39&lt;/sup&gt;","plainTextFormattedCitation":"39","previouslyFormattedCitation":"&lt;sup&gt;38&lt;/sup&gt;"},"properties":{"noteIndex":0},"schema":"https://github.com/citation-style-language/schema/raw/master/csl-citation.json"}</w:instrText>
      </w:r>
      <w:r w:rsidR="000E1167" w:rsidRPr="000E1167">
        <w:rPr>
          <w:rFonts w:ascii="Verdana" w:eastAsia="Calibri" w:hAnsi="Verdana"/>
          <w:sz w:val="20"/>
        </w:rPr>
        <w:fldChar w:fldCharType="separate"/>
      </w:r>
      <w:r w:rsidR="000E1167" w:rsidRPr="000E1167">
        <w:rPr>
          <w:rFonts w:ascii="Verdana" w:eastAsia="Calibri" w:hAnsi="Verdana"/>
          <w:noProof/>
          <w:sz w:val="20"/>
          <w:vertAlign w:val="superscript"/>
        </w:rPr>
        <w:t>39</w:t>
      </w:r>
      <w:r w:rsidR="000E1167" w:rsidRPr="000E1167">
        <w:rPr>
          <w:rFonts w:ascii="Verdana" w:eastAsia="Calibri" w:hAnsi="Verdana"/>
          <w:sz w:val="20"/>
        </w:rPr>
        <w:fldChar w:fldCharType="end"/>
      </w:r>
      <w:r w:rsidR="000E1167" w:rsidRPr="000E1167">
        <w:rPr>
          <w:rFonts w:ascii="Verdana" w:eastAsia="Calibri" w:hAnsi="Verdana"/>
          <w:sz w:val="20"/>
        </w:rPr>
        <w:t xml:space="preserve"> Several barriers exist that can limit effective communication and participation of older adults with care providers including sensory deficits, cognitive impairments, functional limitations, and lack of coordination between providers.</w:t>
      </w:r>
      <w:r w:rsidR="000E1167" w:rsidRPr="000E1167">
        <w:rPr>
          <w:rFonts w:ascii="Verdana" w:eastAsia="Calibri" w:hAnsi="Verdana"/>
          <w:sz w:val="20"/>
        </w:rPr>
        <w:fldChar w:fldCharType="begin" w:fldLock="1"/>
      </w:r>
      <w:r w:rsidR="000E1167" w:rsidRPr="000E1167">
        <w:rPr>
          <w:rFonts w:ascii="Verdana" w:eastAsia="Calibri" w:hAnsi="Verdana"/>
          <w:sz w:val="20"/>
        </w:rPr>
        <w:instrText>ADDIN CSL_CITATION {"citationItems":[{"id":"ITEM-1","itemData":{"ISSN":"0738-3991","author":[{"dropping-particle":"","family":"Noordman","given":"Janneke","non-dropping-particle":"","parse-names":false,"suffix":""},{"dropping-particle":"","family":"Driesenaar","given":"Jeanine A","non-dropping-particle":"","parse-names":false,"suffix":""},{"dropping-particle":"","family":"Henselmans","given":"Inge","non-dropping-particle":"","parse-names":false,"suffix":""},{"dropping-particle":"","family":"Verboom","given":"Jedidja","non-dropping-particle":"","parse-names":false,"suffix":""},{"dropping-particle":"","family":"Heijmans","given":"Monique","non-dropping-particle":"","parse-names":false,"suffix":""},{"dropping-particle":"","family":"Dulmen","given":"Sandra","non-dropping-particle":"van","parse-names":false,"suffix":""}],"container-title":"Patient education and counseling","id":"ITEM-1","issue":"12","issued":{"date-parts":[["2017"]]},"page":"2262-2268","publisher":"Elsevier","title":"Patient participation during oncological encounters: Barriers and need for supportive interventions experienced by elderly cancer patients","type":"article-journal","volume":"100"},"uris":["http://www.mendeley.com/documents/?uuid=db8e3976-0ea1-4d51-8c4e-d23cee803839"]}],"mendeley":{"formattedCitation":"&lt;sup&gt;39&lt;/sup&gt;","plainTextFormattedCitation":"39","previouslyFormattedCitation":"&lt;sup&gt;38&lt;/sup&gt;"},"properties":{"noteIndex":0},"schema":"https://github.com/citation-style-language/schema/raw/master/csl-citation.json"}</w:instrText>
      </w:r>
      <w:r w:rsidR="000E1167" w:rsidRPr="000E1167">
        <w:rPr>
          <w:rFonts w:ascii="Verdana" w:eastAsia="Calibri" w:hAnsi="Verdana"/>
          <w:sz w:val="20"/>
        </w:rPr>
        <w:fldChar w:fldCharType="separate"/>
      </w:r>
      <w:r w:rsidR="000E1167" w:rsidRPr="000E1167">
        <w:rPr>
          <w:rFonts w:ascii="Verdana" w:eastAsia="Calibri" w:hAnsi="Verdana"/>
          <w:noProof/>
          <w:sz w:val="20"/>
          <w:vertAlign w:val="superscript"/>
        </w:rPr>
        <w:t>39</w:t>
      </w:r>
      <w:r w:rsidR="000E1167" w:rsidRPr="000E1167">
        <w:rPr>
          <w:rFonts w:ascii="Verdana" w:eastAsia="Calibri" w:hAnsi="Verdana"/>
          <w:sz w:val="20"/>
        </w:rPr>
        <w:fldChar w:fldCharType="end"/>
      </w:r>
    </w:p>
    <w:p w14:paraId="12174DFC" w14:textId="77777777" w:rsidR="000E1167" w:rsidRPr="000E1167" w:rsidRDefault="000E1167" w:rsidP="000E1167">
      <w:pPr>
        <w:spacing w:line="240" w:lineRule="auto"/>
        <w:jc w:val="both"/>
        <w:rPr>
          <w:rFonts w:ascii="Verdana" w:eastAsia="Calibri" w:hAnsi="Verdana"/>
          <w:sz w:val="20"/>
        </w:rPr>
      </w:pPr>
      <w:r w:rsidRPr="000E1167">
        <w:rPr>
          <w:rFonts w:ascii="Verdana" w:eastAsia="Calibri" w:hAnsi="Verdana"/>
          <w:sz w:val="20"/>
        </w:rPr>
        <w:t xml:space="preserve">Awareness of sensory and cognitive deficits is important. Strategies related to communication, coordination of care, and treatment decision-making were recommended. These included acknowledging and asking about patient values, collaborative agenda setting, engaging family members, and care navigation to coordinate care. Dr. </w:t>
      </w:r>
      <w:proofErr w:type="spellStart"/>
      <w:r w:rsidRPr="000E1167">
        <w:rPr>
          <w:rFonts w:ascii="Verdana" w:eastAsia="Calibri" w:hAnsi="Verdana"/>
          <w:sz w:val="20"/>
        </w:rPr>
        <w:t>Strohschein</w:t>
      </w:r>
      <w:proofErr w:type="spellEnd"/>
      <w:r w:rsidRPr="000E1167">
        <w:rPr>
          <w:rFonts w:ascii="Verdana" w:eastAsia="Calibri" w:hAnsi="Verdana"/>
          <w:sz w:val="20"/>
        </w:rPr>
        <w:t xml:space="preserve"> also highlighted her research showing that establishing trust with healthcare providers is important to the way older adults make decisions regarding treatment.</w:t>
      </w:r>
      <w:r w:rsidRPr="000E1167">
        <w:rPr>
          <w:rFonts w:ascii="Verdana" w:eastAsia="Calibri" w:hAnsi="Verdana"/>
          <w:sz w:val="20"/>
        </w:rPr>
        <w:fldChar w:fldCharType="begin" w:fldLock="1"/>
      </w:r>
      <w:r w:rsidRPr="000E1167">
        <w:rPr>
          <w:rFonts w:ascii="Verdana" w:eastAsia="Calibri" w:hAnsi="Verdana"/>
          <w:sz w:val="20"/>
        </w:rPr>
        <w:instrText>ADDIN CSL_CITATION {"citationItems":[{"id":"ITEM-1","itemData":{"author":[{"dropping-particle":"","family":"Strohschein","given":"FJ","non-dropping-particle":"","parse-names":false,"suffix":""}],"id":"ITEM-1","issued":{"date-parts":[["2019"]]},"publisher":"Montreal, Canada: McGill University","title":"Submitting to the momentum of care: Treatment decision making among older people with colorectal cancer [Doctoral Thesis]. Montreal, Canada: McGill University","type":"thesis"},"uris":["http://www.mendeley.com/documents/?uuid=23ffa9d0-b25a-4194-a43e-2a6b9991979f"]}],"mendeley":{"formattedCitation":"&lt;sup&gt;40&lt;/sup&gt;","plainTextFormattedCitation":"40","previouslyFormattedCitation":"&lt;sup&gt;39&lt;/sup&gt;"},"properties":{"noteIndex":0},"schema":"https://github.com/citation-style-language/schema/raw/master/csl-citation.json"}</w:instrText>
      </w:r>
      <w:r w:rsidRPr="000E1167">
        <w:rPr>
          <w:rFonts w:ascii="Verdana" w:eastAsia="Calibri" w:hAnsi="Verdana"/>
          <w:sz w:val="20"/>
        </w:rPr>
        <w:fldChar w:fldCharType="separate"/>
      </w:r>
      <w:r w:rsidRPr="000E1167">
        <w:rPr>
          <w:rFonts w:ascii="Verdana" w:eastAsia="Calibri" w:hAnsi="Verdana"/>
          <w:noProof/>
          <w:sz w:val="20"/>
          <w:vertAlign w:val="superscript"/>
        </w:rPr>
        <w:t>40</w:t>
      </w:r>
      <w:r w:rsidRPr="000E1167">
        <w:rPr>
          <w:rFonts w:ascii="Verdana" w:eastAsia="Calibri" w:hAnsi="Verdana"/>
          <w:sz w:val="20"/>
        </w:rPr>
        <w:fldChar w:fldCharType="end"/>
      </w:r>
      <w:r w:rsidRPr="000E1167">
        <w:rPr>
          <w:rFonts w:ascii="Verdana" w:eastAsia="Calibri" w:hAnsi="Verdana"/>
          <w:sz w:val="20"/>
        </w:rPr>
        <w:t xml:space="preserve"> Identification of those needing additional support, such as those with depression, poor physical function, lack of social support, or with high distress was emphasized.</w:t>
      </w:r>
      <w:r w:rsidRPr="000E1167">
        <w:rPr>
          <w:rFonts w:ascii="Verdana" w:eastAsia="Calibri" w:hAnsi="Verdana"/>
          <w:sz w:val="20"/>
        </w:rPr>
        <w:fldChar w:fldCharType="begin" w:fldLock="1"/>
      </w:r>
      <w:r w:rsidRPr="000E1167">
        <w:rPr>
          <w:rFonts w:ascii="Verdana" w:eastAsia="Calibri" w:hAnsi="Verdana"/>
          <w:sz w:val="20"/>
        </w:rPr>
        <w:instrText>ADDIN CSL_CITATION {"citationItems":[{"id":"ITEM-1","itemData":{"ISSN":"0732-183X","author":[{"dropping-particle":"","family":"Smith","given":"Benjamin D","non-dropping-particle":"","parse-names":false,"suffix":""},{"dropping-particle":"","family":"Smith","given":"Grace L","non-dropping-particle":"","parse-names":false,"suffix":""},{"dropping-particle":"","family":"Hurria","given":"Arti","non-dropping-particle":"","parse-names":false,"suffix":""},{"dropping-particle":"","family":"Hortobagyi","given":"Gabriel N","non-dropping-particle":"","parse-names":false,"suffix":""},{"dropping-particle":"","family":"Buchholz","given":"Thomas A","non-dropping-particle":"","parse-names":false,"suffix":""}],"container-title":"Journal of clinical oncology","id":"ITEM-1","issue":"17","issued":{"date-parts":[["2009"]]},"page":"2758-2765","publisher":"American Society of Clinical Oncology","title":"Future of cancer incidence in the United States: burdens upon an aging, changing nation","type":"article-journal","volume":"27"},"uris":["http://www.mendeley.com/documents/?uuid=b8ae4522-facf-4661-b438-32564607da01"]},{"id":"ITEM-2","itemData":{"ISSN":"0941-4355","author":[{"dropping-particle":"","family":"Puts","given":"M T E","non-dropping-particle":"","parse-names":false,"suffix":""},{"dropping-particle":"","family":"Papoutsis","given":"A","non-dropping-particle":"","parse-names":false,"suffix":""},{"dropping-particle":"","family":"Springall","given":"E","non-dropping-particle":"","parse-names":false,"suffix":""},{"dropping-particle":"","family":"Tourangeau","given":"A E","non-dropping-particle":"","parse-names":false,"suffix":""}],"container-title":"Supportive Care in Cancer","id":"ITEM-2","issue":"7","issued":{"date-parts":[["2012"]]},"page":"1377-1394","publisher":"Springer","title":"A systematic review of unmet needs of newly diagnosed older cancer patients undergoing active cancer treatment","type":"article-journal","volume":"20"},"uris":["http://www.mendeley.com/documents/?uuid=a8f3ae91-8cb4-4591-b9be-e26e155931aa"]}],"mendeley":{"formattedCitation":"&lt;sup&gt;4,41&lt;/sup&gt;","plainTextFormattedCitation":"4,41","previouslyFormattedCitation":"&lt;sup&gt;4,40&lt;/sup&gt;"},"properties":{"noteIndex":0},"schema":"https://github.com/citation-style-language/schema/raw/master/csl-citation.json"}</w:instrText>
      </w:r>
      <w:r w:rsidRPr="000E1167">
        <w:rPr>
          <w:rFonts w:ascii="Verdana" w:eastAsia="Calibri" w:hAnsi="Verdana"/>
          <w:sz w:val="20"/>
        </w:rPr>
        <w:fldChar w:fldCharType="separate"/>
      </w:r>
      <w:r w:rsidRPr="000E1167">
        <w:rPr>
          <w:rFonts w:ascii="Verdana" w:eastAsia="Calibri" w:hAnsi="Verdana"/>
          <w:noProof/>
          <w:sz w:val="20"/>
          <w:vertAlign w:val="superscript"/>
        </w:rPr>
        <w:t>4,41</w:t>
      </w:r>
      <w:r w:rsidRPr="000E1167">
        <w:rPr>
          <w:rFonts w:ascii="Verdana" w:eastAsia="Calibri" w:hAnsi="Verdana"/>
          <w:sz w:val="20"/>
        </w:rPr>
        <w:fldChar w:fldCharType="end"/>
      </w:r>
    </w:p>
    <w:p w14:paraId="231778F1" w14:textId="77777777" w:rsidR="000E1167" w:rsidRPr="000E1167" w:rsidRDefault="000E1167" w:rsidP="000E1167">
      <w:pPr>
        <w:spacing w:line="240" w:lineRule="auto"/>
        <w:ind w:left="360"/>
        <w:jc w:val="both"/>
        <w:rPr>
          <w:rFonts w:ascii="Verdana" w:eastAsia="Calibri" w:hAnsi="Verdana"/>
          <w:b/>
          <w:sz w:val="20"/>
        </w:rPr>
      </w:pPr>
      <w:r w:rsidRPr="000E1167">
        <w:rPr>
          <w:rFonts w:ascii="Verdana" w:eastAsia="Calibri" w:hAnsi="Verdana"/>
          <w:b/>
          <w:sz w:val="20"/>
        </w:rPr>
        <w:t>Workshop 3: Nutrition in older adults with cancer</w:t>
      </w:r>
    </w:p>
    <w:p w14:paraId="56877876" w14:textId="77777777" w:rsidR="000E1167" w:rsidRPr="000E1167" w:rsidRDefault="000E1167" w:rsidP="000E1167">
      <w:pPr>
        <w:pStyle w:val="ListParagraph"/>
        <w:numPr>
          <w:ilvl w:val="0"/>
          <w:numId w:val="12"/>
        </w:numPr>
        <w:spacing w:after="0" w:line="240" w:lineRule="auto"/>
        <w:jc w:val="both"/>
        <w:rPr>
          <w:rFonts w:ascii="Verdana" w:eastAsia="Calibri" w:hAnsi="Verdana"/>
          <w:bCs/>
          <w:i/>
          <w:iCs/>
          <w:sz w:val="20"/>
        </w:rPr>
      </w:pPr>
      <w:r w:rsidRPr="000E1167">
        <w:rPr>
          <w:rFonts w:ascii="Verdana" w:eastAsia="Calibri" w:hAnsi="Verdana"/>
          <w:i/>
          <w:iCs/>
          <w:sz w:val="20"/>
        </w:rPr>
        <w:t xml:space="preserve">Objective 1: </w:t>
      </w:r>
      <w:r w:rsidRPr="000E1167">
        <w:rPr>
          <w:rFonts w:ascii="Verdana" w:eastAsia="Calibri" w:hAnsi="Verdana"/>
          <w:bCs/>
          <w:i/>
          <w:iCs/>
          <w:sz w:val="20"/>
        </w:rPr>
        <w:t>Identify patients at high nutritional risk requiring early intervention.</w:t>
      </w:r>
    </w:p>
    <w:p w14:paraId="26252893" w14:textId="77777777" w:rsidR="000E1167" w:rsidRDefault="000E1167" w:rsidP="000E1167">
      <w:pPr>
        <w:pStyle w:val="ListParagraph"/>
        <w:numPr>
          <w:ilvl w:val="0"/>
          <w:numId w:val="12"/>
        </w:numPr>
        <w:spacing w:after="0" w:line="240" w:lineRule="auto"/>
        <w:jc w:val="both"/>
        <w:rPr>
          <w:rFonts w:ascii="Verdana" w:eastAsia="Calibri" w:hAnsi="Verdana"/>
          <w:bCs/>
          <w:i/>
          <w:iCs/>
          <w:sz w:val="20"/>
        </w:rPr>
      </w:pPr>
      <w:r w:rsidRPr="000E1167">
        <w:rPr>
          <w:rFonts w:ascii="Verdana" w:eastAsia="Calibri" w:hAnsi="Verdana"/>
          <w:i/>
          <w:iCs/>
          <w:sz w:val="20"/>
        </w:rPr>
        <w:t xml:space="preserve">Objective 2: </w:t>
      </w:r>
      <w:r w:rsidRPr="000E1167">
        <w:rPr>
          <w:rFonts w:ascii="Verdana" w:eastAsia="Calibri" w:hAnsi="Verdana"/>
          <w:bCs/>
          <w:i/>
          <w:iCs/>
          <w:sz w:val="20"/>
        </w:rPr>
        <w:t>Explain the role of nutrition therapy in the cancer care of older adults.</w:t>
      </w:r>
    </w:p>
    <w:p w14:paraId="133CA202" w14:textId="77777777" w:rsidR="000C6272" w:rsidRPr="000E1167" w:rsidRDefault="000C6272" w:rsidP="008D2878">
      <w:pPr>
        <w:pStyle w:val="ListParagraph"/>
        <w:spacing w:after="0" w:line="240" w:lineRule="auto"/>
        <w:jc w:val="both"/>
        <w:rPr>
          <w:rFonts w:ascii="Verdana" w:eastAsia="Calibri" w:hAnsi="Verdana"/>
          <w:bCs/>
          <w:i/>
          <w:iCs/>
          <w:sz w:val="20"/>
        </w:rPr>
      </w:pPr>
    </w:p>
    <w:p w14:paraId="7A9263D8" w14:textId="77777777" w:rsidR="000E1167" w:rsidRPr="000E1167" w:rsidRDefault="000E1167" w:rsidP="008D2878">
      <w:pPr>
        <w:spacing w:line="240" w:lineRule="auto"/>
        <w:jc w:val="both"/>
        <w:rPr>
          <w:rFonts w:ascii="Verdana" w:eastAsia="Calibri" w:hAnsi="Verdana"/>
          <w:bCs/>
          <w:sz w:val="20"/>
        </w:rPr>
      </w:pPr>
      <w:r w:rsidRPr="000E1167">
        <w:rPr>
          <w:rFonts w:ascii="Verdana" w:eastAsia="Calibri" w:hAnsi="Verdana"/>
          <w:bCs/>
          <w:sz w:val="20"/>
        </w:rPr>
        <w:t xml:space="preserve">Martin </w:t>
      </w:r>
      <w:proofErr w:type="spellStart"/>
      <w:r w:rsidRPr="000E1167">
        <w:rPr>
          <w:rFonts w:ascii="Verdana" w:eastAsia="Calibri" w:hAnsi="Verdana"/>
          <w:bCs/>
          <w:sz w:val="20"/>
        </w:rPr>
        <w:t>Chasen</w:t>
      </w:r>
      <w:proofErr w:type="spellEnd"/>
      <w:r w:rsidRPr="000E1167">
        <w:rPr>
          <w:rFonts w:ascii="Verdana" w:eastAsia="Calibri" w:hAnsi="Verdana"/>
          <w:bCs/>
          <w:sz w:val="20"/>
        </w:rPr>
        <w:t xml:space="preserve">, </w:t>
      </w:r>
      <w:proofErr w:type="spellStart"/>
      <w:r w:rsidRPr="000E1167">
        <w:rPr>
          <w:rFonts w:ascii="Verdana" w:eastAsia="Calibri" w:hAnsi="Verdana"/>
          <w:bCs/>
          <w:sz w:val="20"/>
        </w:rPr>
        <w:t>MBChB</w:t>
      </w:r>
      <w:proofErr w:type="spellEnd"/>
      <w:r w:rsidRPr="000E1167">
        <w:rPr>
          <w:rFonts w:ascii="Verdana" w:eastAsia="Calibri" w:hAnsi="Verdana"/>
          <w:bCs/>
          <w:sz w:val="20"/>
        </w:rPr>
        <w:t xml:space="preserve"> MPhil, and Daniela </w:t>
      </w:r>
      <w:proofErr w:type="spellStart"/>
      <w:r w:rsidRPr="000E1167">
        <w:rPr>
          <w:rFonts w:ascii="Verdana" w:eastAsia="Calibri" w:hAnsi="Verdana"/>
          <w:bCs/>
          <w:sz w:val="20"/>
        </w:rPr>
        <w:t>Fierini</w:t>
      </w:r>
      <w:proofErr w:type="spellEnd"/>
      <w:r w:rsidRPr="000E1167">
        <w:rPr>
          <w:rFonts w:ascii="Verdana" w:eastAsia="Calibri" w:hAnsi="Verdana"/>
          <w:bCs/>
          <w:sz w:val="20"/>
        </w:rPr>
        <w:t>, RD, highlighted the importance of identifying and managing malnutrition due to its association with poorer tolerance of treatment, functional status, and cancer survival.</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{"citationItems":[{"id":"ITEM-1","itemData":{"ISSN":"1879-4068","author":[{"dropping-particle":"","family":"Mislang","given":"Anna Rachelle","non-dropping-particle":"","parse-names":false,"suffix":""},{"dropping-particle":"","family":"Donato","given":"Samantha","non-dropping-particle":"Di","parse-names":false,"suffix":""},{"dropping-particle":"","family":"Hubbard","given":"Joleen","non-dropping-particle":"","parse-names":false,"suffix":""},{"dropping-particle":"","family":"Krishna","given":"Lalit","non-dropping-particle":"","parse-names":false,"suffix":""},{"dropping-particle":"","family":"Mottino","given":"Giuseppe","non-dropping-particle":"","parse-names":false,"suffix":""},{"dropping-particle":"","family":"Bozzetti","given":"Federico","non-dropping-particle":"","parse-names":false,"suffix":""},{"dropping-particle":"","family":"Biganzoli","given":"Laura","non-dropping-particle":"","parse-names":false,"suffix":""}],"container-title":"Journal of geriatric oncology","id":"ITEM-1","issued":{"date-parts":[["2018"]]},"publisher":"Elsevier","title":"Nutritional management of older adults with gastrointestinal cancers: An International Society of Geriatric Oncology (SIOG) review paper","type":"article-journal"},"uris":["http://www.mendeley.com/documents/?uuid=65f5d800-3f3d-4cb6-ba97-8b27860e1afb"]}],"mendeley":{"formattedCitation":"&lt;sup&gt;42&lt;/sup&gt;","plainTextFormattedCitation":"42","previouslyFormattedCitation":"&lt;sup&gt;41&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42</w:t>
      </w:r>
      <w:r w:rsidRPr="000E1167">
        <w:rPr>
          <w:rFonts w:ascii="Verdana" w:eastAsia="Calibri" w:hAnsi="Verdana"/>
          <w:bCs/>
          <w:sz w:val="20"/>
        </w:rPr>
        <w:fldChar w:fldCharType="end"/>
      </w:r>
      <w:r w:rsidRPr="000E1167">
        <w:rPr>
          <w:rFonts w:ascii="Verdana" w:eastAsia="Calibri" w:hAnsi="Verdana"/>
          <w:bCs/>
          <w:sz w:val="20"/>
        </w:rPr>
        <w:t xml:space="preserve"> Malnutrition can be easily missed in older adults and should be screened for; some recommended screening tools are the mini-nutritional assessment-short form (</w:t>
      </w:r>
      <w:hyperlink r:id="rId22" w:history="1">
        <w:r w:rsidRPr="000E1167">
          <w:rPr>
            <w:rStyle w:val="Hyperlink"/>
            <w:rFonts w:ascii="Verdana" w:eastAsia="Calibri" w:hAnsi="Verdana"/>
            <w:bCs/>
            <w:color w:val="C00000"/>
            <w:sz w:val="20"/>
          </w:rPr>
          <w:t>MNA-SF</w:t>
        </w:r>
      </w:hyperlink>
      <w:r w:rsidRPr="000E1167">
        <w:rPr>
          <w:rFonts w:ascii="Verdana" w:eastAsia="Calibri" w:hAnsi="Verdana"/>
          <w:bCs/>
          <w:sz w:val="20"/>
        </w:rPr>
        <w:t>) and the malnutrition screening tool (</w:t>
      </w:r>
      <w:hyperlink r:id="rId23" w:history="1">
        <w:r w:rsidRPr="000E1167">
          <w:rPr>
            <w:rStyle w:val="Hyperlink"/>
            <w:rFonts w:ascii="Verdana" w:eastAsia="Calibri" w:hAnsi="Verdana"/>
            <w:bCs/>
            <w:color w:val="C00000"/>
            <w:sz w:val="20"/>
          </w:rPr>
          <w:t>MST</w:t>
        </w:r>
      </w:hyperlink>
      <w:r w:rsidRPr="000E1167">
        <w:rPr>
          <w:rFonts w:ascii="Verdana" w:eastAsia="Calibri" w:hAnsi="Verdana"/>
          <w:bCs/>
          <w:sz w:val="20"/>
        </w:rPr>
        <w:t>).</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{"citationItems":[{"id":"ITEM-1","itemData":{"ISSN":"1879-4068","author":[{"dropping-particle":"","family":"Mislang","given":"Anna Rachelle","non-dropping-particle":"","parse-names":false,"suffix":""},{"dropping-particle":"","family":"Donato","given":"Samantha","non-dropping-particle":"Di","parse-names":false,"suffix":""},{"dropping-particle":"","family":"Hubbard","given":"Joleen","non-dropping-particle":"","parse-names":false,"suffix":""},{"dropping-particle":"","family":"Krishna","given":"Lalit","non-dropping-particle":"","parse-names":false,"suffix":""},{"dropping-particle":"","family":"Mottino","given":"Giuseppe","non-dropping-particle":"","parse-names":false,"suffix":""},{"dropping-particle":"","family":"Bozzetti","given":"Federico","non-dropping-particle":"","parse-names":false,"suffix":""},{"dropping-particle":"","family":"Biganzoli","given":"Laura","non-dropping-particle":"","parse-names":false,"suffix":""}],"container-title":"Journal of geriatric oncology","id":"ITEM-1","issued":{"date-parts":[["2018"]]},"publisher":"Elsevier","title":"Nutritional management of older adults with gastrointestinal cancers: An International Society of Geriatric Oncology (SIOG) review paper","type":"article-journal"},"uris":["http://www.mendeley.com/documents/?uuid=65f5d800-3f3d-4cb6-ba97-8b27860e1afb"]},{"id":"ITEM-2","itemData":{"ISSN":"0261-5614","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container-title":"Clinical nutrition","id":"ITEM-2","issue":"1","issued":{"date-parts":[["2017"]]},"page":"11-48","publisher":"Elsevier","title":"ESPEN guidelines on nutrition in cancer patients","type":"article-journal","volume":"36"},"uris":["http://www.mendeley.com/documents/?uuid=b773f8e0-5fec-441b-b203-4ecb088ee179"]},{"id":"ITEM-3","itemData":{"ISSN":"2405-4577","author":[{"dropping-particle":"","family":"Power","given":"Lauren","non-dropping-particle":"","parse-names":false,"suffix":""},{"dropping-particle":"","family":"Mullally","given":"Deirdre","non-dropping-particle":"","parse-names":false,"suffix":""},{"dropping-particle":"","family":"Gibney","given":"Eileen R","non-dropping-particle":"","parse-names":false,"suffix":""},{"dropping-particle":"","family":"Clarke","given":"Michelle","non-dropping-particle":"","parse-names":false,"suffix":""},{"dropping-particle":"","family":"Visser","given":"Marjolein","non-dropping-particle":"","parse-names":false,"suffix":""},{"dropping-particle":"","family":"Volkert","given":"Dorothee","non-dropping-particle":"","parse-names":false,"suffix":""},{"dropping-particle":"","family":"Bardon","given":"Laura","non-dropping-particle":"","parse-names":false,"suffix":""},{"dropping-particle":"","family":"van der Schueren","given":"Marian A E","non-dropping-particle":"de","parse-names":false,"suffix":""},{"dropping-particle":"","family":"Corish","given":"Clare A","non-dropping-particle":"","parse-names":false,"suffix":""},{"dropping-particle":"","family":"Consortium","given":"MaNuEL","non-dropping-particle":"","parse-names":false,"suffix":""}],"container-title":"Clinical nutrition ESPEN","id":"ITEM-3","issued":{"date-parts":[["2018"]]},"page":"1-13","publisher":"Elsevier","title":"A review of the validity of malnutrition screening tools used in older adults in community and healthcare settings–A MaNuEL study","type":"article-journal","volume":"24"},"uris":["http://www.mendeley.com/documents/?uuid=705af2ef-a989-427e-81ec-3631b2837085"]}],"mendeley":{"formattedCitation":"&lt;sup&gt;42–44&lt;/sup&gt;","plainTextFormattedCitation":"42–44","previouslyFormattedCitation":"&lt;sup&gt;41–43&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42–44</w:t>
      </w:r>
      <w:r w:rsidRPr="000E1167">
        <w:rPr>
          <w:rFonts w:ascii="Verdana" w:eastAsia="Calibri" w:hAnsi="Verdana"/>
          <w:bCs/>
          <w:sz w:val="20"/>
        </w:rPr>
        <w:fldChar w:fldCharType="end"/>
      </w:r>
      <w:r w:rsidRPr="000E1167">
        <w:rPr>
          <w:rFonts w:ascii="Verdana" w:eastAsia="Calibri" w:hAnsi="Verdana"/>
          <w:bCs/>
          <w:sz w:val="20"/>
        </w:rPr>
        <w:t xml:space="preserve"> A recent international consensus on the diagnosis of cancer cachexia includes weight loss &gt;5% (&gt;2% if BMI  &lt;20) or sarcopenia (low muscle mass) in addition to reduced food intake or systemic inflammation.</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{"citationItems":[{"id":"ITEM-1","itemData":{"ISSN":"2190-5991","author":[{"dropping-particle":"","family":"Cederholm","given":"Tommy","non-dropping-particle":"","parse-names":false,"suffix":""},{"dropping-particle":"","family":"Jensen","given":"G L","non-dropping-particle":"","parse-names":false,"suffix":""},{"dropping-particle":"","family":"Correia","given":"M Isabel T D","non-dropping-particle":"","parse-names":false,"suffix":""},{"dropping-particle":"","family":"Gonzalez","given":"M Christina","non-dropping-particle":"","parse-names":false,"suffix":""},{"dropping-particle":"","family":"Fukushima","given":"Ryoji","non-dropping-particle":"","parse-names":false,"suffix":""},{"dropping-particle":"","family":"Higashiguchi","given":"Takashi","non-dropping-particle":"","parse-names":false,"suffix":""},{"dropping-particle":"","family":"Baptista","given":"Gertrudis","non-dropping-particle":"","parse-names":false,"suffix":""},{"dropping-particle":"","family":"Barazzoni","given":"Rocco","non-dropping-particle":"","parse-names":false,"suffix":""},{"dropping-particle":"","family":"Blaauw","given":"Renée","non-dropping-particle":"","parse-names":false,"suffix":""},{"dropping-particle":"","family":"Coats","given":"Andrew J S","non-dropping-particle":"","parse-names":false,"suffix":""}],"container-title":"Journal of cachexia, sarcopenia and muscle","id":"ITEM-1","issue":"1","issued":{"date-parts":[["2019"]]},"page":"207-217","publisher":"Wiley Online Library","title":"GLIM criteria for the diagnosis of malnutrition–A consensus report from the global clinical nutrition community","type":"article-journal","volume":"10"},"uris":["http://www.mendeley.com/documents/?uuid=7d03fcdb-a506-46bf-9dc2-bc37e4d37950"]}],"mendeley":{"formattedCitation":"&lt;sup&gt;45&lt;/sup&gt;","plainTextFormattedCitation":"45","previouslyFormattedCitation":"&lt;sup&gt;44&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45</w:t>
      </w:r>
      <w:r w:rsidRPr="000E1167">
        <w:rPr>
          <w:rFonts w:ascii="Verdana" w:eastAsia="Calibri" w:hAnsi="Verdana"/>
          <w:bCs/>
          <w:sz w:val="20"/>
        </w:rPr>
        <w:fldChar w:fldCharType="end"/>
      </w:r>
    </w:p>
    <w:p w14:paraId="5D0D4A81" w14:textId="77777777" w:rsidR="000E1167" w:rsidRPr="000E1167" w:rsidRDefault="000E1167" w:rsidP="008D2878">
      <w:pPr>
        <w:spacing w:line="240" w:lineRule="auto"/>
        <w:jc w:val="both"/>
        <w:rPr>
          <w:rFonts w:ascii="Verdana" w:eastAsia="Calibri" w:hAnsi="Verdana"/>
          <w:bCs/>
          <w:sz w:val="20"/>
        </w:rPr>
      </w:pPr>
      <w:r w:rsidRPr="000E1167">
        <w:rPr>
          <w:rFonts w:ascii="Verdana" w:eastAsia="Calibri" w:hAnsi="Verdana"/>
          <w:bCs/>
          <w:sz w:val="20"/>
        </w:rPr>
        <w:t>Generally, nutritional counselling represents first-line nutritional therapy.</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0261-5614","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container-title":"Clinical nutrition","id":"ITEM-1","issue":"1","issued":{"date-parts":[["2017"]]},"page":"11-48","publisher":"Elsevier","title":"ESPEN guidelines on nutrition in cancer patients","type":"article-journal","volume":"36"},"uris":["http://www.mendeley.com/documents/?uuid=b773f8e0-5fec-441b-b203-4ecb088ee179"]}],"mendeley":{"formattedCitation":"&lt;sup&gt;43&lt;/sup&gt;","plainTextFormattedCitation":"43","previouslyFormattedCitation":"&lt;sup&gt;42&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43</w:t>
      </w:r>
      <w:r w:rsidRPr="000E1167">
        <w:rPr>
          <w:rFonts w:ascii="Verdana" w:eastAsia="Calibri" w:hAnsi="Verdana"/>
          <w:bCs/>
          <w:sz w:val="20"/>
        </w:rPr>
        <w:fldChar w:fldCharType="end"/>
      </w:r>
      <w:r w:rsidRPr="000E1167">
        <w:rPr>
          <w:rFonts w:ascii="Verdana" w:eastAsia="Calibri" w:hAnsi="Verdana"/>
          <w:bCs/>
          <w:sz w:val="20"/>
        </w:rPr>
        <w:t xml:space="preserve"> Adequate nutrition requires high nutrient dense foods. Older adults may need guidance on protein sources that are easier to chew and comparatively low in fat (e.g., eggs, low-fat dairy products, and legumes). One of the resources suggested to help patients was Nourish (</w:t>
      </w:r>
      <w:hyperlink r:id="rId24" w:history="1">
        <w:r w:rsidRPr="000E1167">
          <w:rPr>
            <w:rStyle w:val="Hyperlink"/>
            <w:rFonts w:ascii="Verdana" w:eastAsia="Calibri" w:hAnsi="Verdana"/>
            <w:bCs/>
            <w:color w:val="C00000"/>
            <w:sz w:val="20"/>
          </w:rPr>
          <w:t>www.nourishonline.ca</w:t>
        </w:r>
      </w:hyperlink>
      <w:r w:rsidRPr="000E1167">
        <w:rPr>
          <w:rFonts w:ascii="Verdana" w:eastAsia="Calibri" w:hAnsi="Verdana"/>
          <w:bCs/>
          <w:sz w:val="20"/>
        </w:rPr>
        <w:t xml:space="preserve">). </w:t>
      </w:r>
    </w:p>
    <w:p w14:paraId="5BC9DE3B" w14:textId="77777777" w:rsidR="00DB7E8B" w:rsidRDefault="00DB7E8B" w:rsidP="000E1167">
      <w:pPr>
        <w:spacing w:line="240" w:lineRule="auto"/>
        <w:ind w:left="360"/>
        <w:jc w:val="both"/>
        <w:rPr>
          <w:rFonts w:ascii="Verdana" w:eastAsia="Calibri" w:hAnsi="Verdana"/>
          <w:b/>
          <w:sz w:val="20"/>
        </w:rPr>
      </w:pPr>
    </w:p>
    <w:p w14:paraId="6A5F58C5" w14:textId="77777777" w:rsidR="00DB7E8B" w:rsidRDefault="00DB7E8B" w:rsidP="000E1167">
      <w:pPr>
        <w:spacing w:line="240" w:lineRule="auto"/>
        <w:ind w:left="360"/>
        <w:jc w:val="both"/>
        <w:rPr>
          <w:rFonts w:ascii="Verdana" w:eastAsia="Calibri" w:hAnsi="Verdana"/>
          <w:b/>
          <w:sz w:val="20"/>
        </w:rPr>
      </w:pPr>
    </w:p>
    <w:p w14:paraId="66DD6783" w14:textId="77777777" w:rsidR="00DB7E8B" w:rsidRDefault="00DB7E8B" w:rsidP="000E1167">
      <w:pPr>
        <w:spacing w:line="240" w:lineRule="auto"/>
        <w:ind w:left="360"/>
        <w:jc w:val="both"/>
        <w:rPr>
          <w:rFonts w:ascii="Verdana" w:eastAsia="Calibri" w:hAnsi="Verdana"/>
          <w:b/>
          <w:sz w:val="20"/>
        </w:rPr>
      </w:pPr>
    </w:p>
    <w:p w14:paraId="61F02C93" w14:textId="77777777" w:rsidR="000E1167" w:rsidRPr="000E1167" w:rsidRDefault="000E1167" w:rsidP="000E1167">
      <w:pPr>
        <w:spacing w:line="240" w:lineRule="auto"/>
        <w:ind w:left="360"/>
        <w:jc w:val="both"/>
        <w:rPr>
          <w:rFonts w:ascii="Verdana" w:eastAsia="Calibri" w:hAnsi="Verdana"/>
          <w:b/>
          <w:sz w:val="20"/>
        </w:rPr>
      </w:pPr>
      <w:bookmarkStart w:id="0" w:name="_GoBack"/>
      <w:bookmarkEnd w:id="0"/>
      <w:r w:rsidRPr="000E1167">
        <w:rPr>
          <w:rFonts w:ascii="Verdana" w:eastAsia="Calibri" w:hAnsi="Verdana"/>
          <w:b/>
          <w:sz w:val="20"/>
        </w:rPr>
        <w:lastRenderedPageBreak/>
        <w:t>Workshop 4: Toxicity prediction, management, and modification</w:t>
      </w:r>
    </w:p>
    <w:p w14:paraId="55EAEAF4" w14:textId="77777777" w:rsidR="000E1167" w:rsidRPr="000E1167" w:rsidRDefault="000E1167" w:rsidP="000E1167">
      <w:pPr>
        <w:pStyle w:val="ListParagraph"/>
        <w:numPr>
          <w:ilvl w:val="0"/>
          <w:numId w:val="13"/>
        </w:numPr>
        <w:spacing w:after="0" w:line="240" w:lineRule="auto"/>
        <w:jc w:val="both"/>
        <w:rPr>
          <w:rFonts w:ascii="Verdana" w:eastAsia="Calibri" w:hAnsi="Verdana"/>
          <w:bCs/>
          <w:i/>
          <w:iCs/>
          <w:sz w:val="20"/>
        </w:rPr>
      </w:pPr>
      <w:r w:rsidRPr="000E1167">
        <w:rPr>
          <w:rFonts w:ascii="Verdana" w:eastAsia="Calibri" w:hAnsi="Verdana"/>
          <w:i/>
          <w:iCs/>
          <w:sz w:val="20"/>
        </w:rPr>
        <w:t xml:space="preserve">Objective 1: </w:t>
      </w:r>
      <w:r w:rsidRPr="000E1167">
        <w:rPr>
          <w:rFonts w:ascii="Verdana" w:eastAsia="Calibri" w:hAnsi="Verdana"/>
          <w:bCs/>
          <w:i/>
          <w:iCs/>
          <w:sz w:val="20"/>
        </w:rPr>
        <w:t>Identify tools to predict chemotherapy toxicity in older adults.</w:t>
      </w:r>
    </w:p>
    <w:p w14:paraId="30446D88" w14:textId="77777777" w:rsidR="000E1167" w:rsidRPr="000E1167" w:rsidRDefault="000E1167" w:rsidP="000E1167">
      <w:pPr>
        <w:pStyle w:val="ListParagraph"/>
        <w:numPr>
          <w:ilvl w:val="0"/>
          <w:numId w:val="13"/>
        </w:numPr>
        <w:spacing w:after="0" w:line="240" w:lineRule="auto"/>
        <w:jc w:val="both"/>
        <w:rPr>
          <w:rFonts w:ascii="Verdana" w:eastAsia="Calibri" w:hAnsi="Verdana"/>
          <w:bCs/>
          <w:i/>
          <w:iCs/>
          <w:sz w:val="20"/>
        </w:rPr>
      </w:pPr>
      <w:r w:rsidRPr="000E1167">
        <w:rPr>
          <w:rFonts w:ascii="Verdana" w:eastAsia="Calibri" w:hAnsi="Verdana"/>
          <w:i/>
          <w:iCs/>
          <w:sz w:val="20"/>
        </w:rPr>
        <w:t xml:space="preserve">Objective 2: </w:t>
      </w:r>
      <w:r w:rsidRPr="000E1167">
        <w:rPr>
          <w:rFonts w:ascii="Verdana" w:eastAsia="Calibri" w:hAnsi="Verdana"/>
          <w:bCs/>
          <w:i/>
          <w:iCs/>
          <w:sz w:val="20"/>
        </w:rPr>
        <w:t>Understand how to modify treatments based on expected toxicity and counsel patients.</w:t>
      </w:r>
    </w:p>
    <w:p w14:paraId="4C2ABA8B" w14:textId="77777777" w:rsidR="000E1167" w:rsidRPr="000E1167" w:rsidRDefault="000E1167" w:rsidP="008D2878">
      <w:pPr>
        <w:pStyle w:val="ListParagraph"/>
        <w:numPr>
          <w:ilvl w:val="0"/>
          <w:numId w:val="13"/>
        </w:numPr>
        <w:spacing w:after="0" w:line="240" w:lineRule="auto"/>
        <w:rPr>
          <w:rFonts w:ascii="Verdana" w:eastAsia="Calibri" w:hAnsi="Verdana"/>
          <w:bCs/>
          <w:i/>
          <w:iCs/>
          <w:sz w:val="20"/>
        </w:rPr>
      </w:pPr>
      <w:r w:rsidRPr="000E1167">
        <w:rPr>
          <w:rFonts w:ascii="Verdana" w:eastAsia="Calibri" w:hAnsi="Verdana"/>
          <w:i/>
          <w:iCs/>
          <w:sz w:val="20"/>
        </w:rPr>
        <w:t xml:space="preserve">Objective 3: </w:t>
      </w:r>
      <w:r w:rsidRPr="000E1167">
        <w:rPr>
          <w:rFonts w:ascii="Verdana" w:eastAsia="Calibri" w:hAnsi="Verdana"/>
          <w:bCs/>
          <w:i/>
          <w:iCs/>
          <w:sz w:val="20"/>
        </w:rPr>
        <w:t xml:space="preserve">Understand the role of the multidisciplinary team in toxicity management of older adults with cancer. </w:t>
      </w:r>
      <w:r>
        <w:rPr>
          <w:rFonts w:ascii="Verdana" w:eastAsia="Calibri" w:hAnsi="Verdana"/>
          <w:bCs/>
          <w:i/>
          <w:iCs/>
          <w:sz w:val="20"/>
        </w:rPr>
        <w:br/>
      </w:r>
    </w:p>
    <w:p w14:paraId="1E4352EB" w14:textId="77777777" w:rsidR="000E1167" w:rsidRPr="000E1167" w:rsidRDefault="000E1167" w:rsidP="000E1167">
      <w:pPr>
        <w:spacing w:line="240" w:lineRule="auto"/>
        <w:jc w:val="both"/>
        <w:rPr>
          <w:rFonts w:ascii="Verdana" w:eastAsia="Calibri" w:hAnsi="Verdana"/>
          <w:bCs/>
          <w:sz w:val="20"/>
        </w:rPr>
      </w:pPr>
      <w:r w:rsidRPr="000E1167">
        <w:rPr>
          <w:rFonts w:ascii="Verdana" w:eastAsia="Calibri" w:hAnsi="Verdana"/>
          <w:bCs/>
          <w:sz w:val="20"/>
        </w:rPr>
        <w:t xml:space="preserve">Prediction and avoidance of toxicity is of great interest to both patients and clinicians. Kristen </w:t>
      </w:r>
      <w:proofErr w:type="spellStart"/>
      <w:r w:rsidRPr="000E1167">
        <w:rPr>
          <w:rFonts w:ascii="Verdana" w:eastAsia="Calibri" w:hAnsi="Verdana"/>
          <w:bCs/>
          <w:sz w:val="20"/>
        </w:rPr>
        <w:t>Haase</w:t>
      </w:r>
      <w:proofErr w:type="spellEnd"/>
      <w:r w:rsidRPr="000E1167">
        <w:rPr>
          <w:rFonts w:ascii="Verdana" w:eastAsia="Calibri" w:hAnsi="Verdana"/>
          <w:bCs/>
          <w:sz w:val="20"/>
        </w:rPr>
        <w:t xml:space="preserve">, RN PhD, and Ines </w:t>
      </w:r>
      <w:proofErr w:type="spellStart"/>
      <w:r w:rsidRPr="000E1167">
        <w:rPr>
          <w:rFonts w:ascii="Verdana" w:eastAsia="Calibri" w:hAnsi="Verdana"/>
          <w:bCs/>
          <w:sz w:val="20"/>
        </w:rPr>
        <w:t>Menjak</w:t>
      </w:r>
      <w:proofErr w:type="spellEnd"/>
      <w:r w:rsidRPr="000E1167">
        <w:rPr>
          <w:rFonts w:ascii="Verdana" w:eastAsia="Calibri" w:hAnsi="Verdana"/>
          <w:bCs/>
          <w:sz w:val="20"/>
        </w:rPr>
        <w:t xml:space="preserve">, MD </w:t>
      </w:r>
      <w:proofErr w:type="spellStart"/>
      <w:r w:rsidRPr="000E1167">
        <w:rPr>
          <w:rFonts w:ascii="Verdana" w:eastAsia="Calibri" w:hAnsi="Verdana"/>
          <w:bCs/>
          <w:sz w:val="20"/>
        </w:rPr>
        <w:t>MHSc</w:t>
      </w:r>
      <w:proofErr w:type="spellEnd"/>
      <w:r w:rsidRPr="000E1167">
        <w:rPr>
          <w:rFonts w:ascii="Verdana" w:eastAsia="Calibri" w:hAnsi="Verdana"/>
          <w:bCs/>
          <w:sz w:val="20"/>
        </w:rPr>
        <w:t>, highlighted several tools predicting for toxicity post-surgery, radiation, and chemotherapy. The Cancer and Aging Research Group (</w:t>
      </w:r>
      <w:hyperlink r:id="rId25" w:history="1">
        <w:r w:rsidRPr="000E1167">
          <w:rPr>
            <w:rStyle w:val="Hyperlink"/>
            <w:rFonts w:ascii="Verdana" w:eastAsia="Calibri" w:hAnsi="Verdana"/>
            <w:bCs/>
            <w:color w:val="C00000"/>
            <w:sz w:val="20"/>
          </w:rPr>
          <w:t>CARG</w:t>
        </w:r>
      </w:hyperlink>
      <w:r w:rsidRPr="000E1167">
        <w:rPr>
          <w:rFonts w:ascii="Verdana" w:eastAsia="Calibri" w:hAnsi="Verdana"/>
          <w:bCs/>
          <w:sz w:val="20"/>
        </w:rPr>
        <w:t>) tool and the Chemotherapy Risk Assessment Scale of High-Age Patients (</w:t>
      </w:r>
      <w:hyperlink r:id="rId26" w:history="1">
        <w:r w:rsidRPr="000E1167">
          <w:rPr>
            <w:rStyle w:val="Hyperlink"/>
            <w:rFonts w:ascii="Verdana" w:eastAsia="Calibri" w:hAnsi="Verdana"/>
            <w:bCs/>
            <w:color w:val="C00000"/>
            <w:sz w:val="20"/>
          </w:rPr>
          <w:t>CRASH</w:t>
        </w:r>
      </w:hyperlink>
      <w:r w:rsidRPr="000E1167">
        <w:rPr>
          <w:rFonts w:ascii="Verdana" w:eastAsia="Calibri" w:hAnsi="Verdana"/>
          <w:bCs/>
          <w:sz w:val="20"/>
        </w:rPr>
        <w:t>) score are the most common tools used to predict chemotherapy toxicity in older adults.</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author":[{"dropping-particle":"","family":"Hurria","given":"Arti","non-dropping-particle":"","parse-names":false,"suffix":""},{"dropping-particle":"","family":"Mohile","given":"Supriya","non-dropping-particle":"","parse-names":false,"suffix":""},{"dropping-particle":"","family":"Gajra","given":"Ajeet","non-dropping-particle":"","parse-names":false,"suffix":""},{"dropping-particle":"","family":"Klepin","given":"Heidi","non-dropping-particle":"","parse-names":false,"suffix":""},{"dropping-particle":"","family":"Muss","given":"Hyman","non-dropping-particle":"","parse-names":false,"suffix":""},{"dropping-particle":"","family":"Chapman","given":"Andrew","non-dropping-particle":"","parse-names":false,"suffix":""},{"dropping-particle":"","family":"Feng","given":"Tao","non-dropping-particle":"","parse-names":false,"suffix":""},{"dropping-particle":"","family":"Smith","given":"David","non-dropping-particle":"","parse-names":false,"suffix":""},{"dropping-particle":"","family":"Sun","given":"Can-Lan","non-dropping-particle":"","parse-names":false,"suffix":""},{"dropping-particle":"","family":"Glas","given":"Nienke","non-dropping-particle":"De","parse-names":false,"suffix":""}],"container-title":"Journal of Clinical Oncology","id":"ITEM-1","issue":"20","issued":{"date-parts":[["2016"]]},"page":"2366","publisher":"American Society of Clinical Oncology","title":"Validation of a prediction tool for chemotherapy toxicity in older adults with cancer","type":"article-journal","volume":"34"},"uris":["http://www.mendeley.com/documents/?uuid=9b3c2097-5d0f-437b-be09-4752dde025de"]},{"id":"ITEM-2","itemData":{"ISSN":"0008-543X","author":[{"dropping-particle":"","family":"Extermann","given":"Martine","non-dropping-particle":"","parse-names":false,"suffix":""},{"dropping-particle":"","family":"Boler","given":"Ivette","non-dropping-particle":"","parse-names":false,"suffix":""},{"dropping-particle":"","family":"Reich","given":"Richard R","non-dropping-particle":"","parse-names":false,"suffix":""},{"dropping-particle":"","family":"Lyman","given":"Gary H","non-dropping-particle":"","parse-names":false,"suffix":""},{"dropping-particle":"","family":"Brown","given":"Richard H","non-dropping-particle":"","parse-names":false,"suffix":""},{"dropping-particle":"","family":"DeFelice","given":"Joseph","non-dropping-particle":"","parse-names":false,"suffix":""},{"dropping-particle":"","family":"Levine","given":"Richard M","non-dropping-particle":"","parse-names":false,"suffix":""},{"dropping-particle":"","family":"Lubiner","given":"Eric T","non-dropping-particle":"","parse-names":false,"suffix":""},{"dropping-particle":"","family":"Reyes","given":"Pablo","non-dropping-particle":"","parse-names":false,"suffix":""},{"dropping-particle":"","family":"Schreiber III","given":"Frederic J","non-dropping-particle":"","parse-names":false,"suffix":""}],"container-title":"Cancer","id":"ITEM-2","issue":"13","issued":{"date-parts":[["2012"]]},"page":"3377-3386","publisher":"Wiley Online Library","title":"Predicting the risk of chemotherapy toxicity in older patients: The Chemotherapy Risk Assessment Scale for High</w:instrText>
      </w:r>
      <w:r w:rsidRPr="000E1167">
        <w:rPr>
          <w:rFonts w:ascii="Cambria Math" w:eastAsia="Calibri" w:hAnsi="Cambria Math" w:cs="Cambria Math"/>
          <w:bCs/>
          <w:sz w:val="20"/>
        </w:rPr>
        <w:instrText>‐</w:instrText>
      </w:r>
      <w:r w:rsidRPr="000E1167">
        <w:rPr>
          <w:rFonts w:ascii="Verdana" w:eastAsia="Calibri" w:hAnsi="Verdana"/>
          <w:bCs/>
          <w:sz w:val="20"/>
        </w:rPr>
        <w:instrText>Age Patients (CRASH) score","type":"article-journal","volume":"118"},"uris":["http://www.mendeley.com/documents/?uuid=dcfb2ed3-7f79-4a48-b345-e342d66f1671"]}],"mendeley":{"formattedCitation":"&lt;sup&gt;13,46&lt;/sup&gt;","plainTextFormattedCitation":"13,46","previouslyFormattedCitation":"&lt;sup&gt;12,45&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13,46</w:t>
      </w:r>
      <w:r w:rsidRPr="000E1167">
        <w:rPr>
          <w:rFonts w:ascii="Verdana" w:eastAsia="Calibri" w:hAnsi="Verdana"/>
          <w:bCs/>
          <w:sz w:val="20"/>
        </w:rPr>
        <w:fldChar w:fldCharType="end"/>
      </w:r>
      <w:r w:rsidRPr="000E1167">
        <w:rPr>
          <w:rFonts w:ascii="Verdana" w:eastAsia="Calibri" w:hAnsi="Verdana"/>
          <w:bCs/>
          <w:sz w:val="20"/>
        </w:rPr>
        <w:t xml:space="preserve"> </w:t>
      </w:r>
      <w:proofErr w:type="spellStart"/>
      <w:r w:rsidRPr="000E1167">
        <w:rPr>
          <w:rFonts w:ascii="Verdana" w:eastAsia="Calibri" w:hAnsi="Verdana"/>
          <w:bCs/>
          <w:sz w:val="20"/>
        </w:rPr>
        <w:t>Tumour</w:t>
      </w:r>
      <w:proofErr w:type="spellEnd"/>
      <w:r w:rsidRPr="000E1167">
        <w:rPr>
          <w:rFonts w:ascii="Verdana" w:eastAsia="Calibri" w:hAnsi="Verdana"/>
          <w:bCs/>
          <w:sz w:val="20"/>
        </w:rPr>
        <w:t xml:space="preserve"> type, age &gt;80, </w:t>
      </w:r>
      <w:hyperlink r:id="rId27" w:history="1">
        <w:r w:rsidRPr="000E1167">
          <w:rPr>
            <w:rStyle w:val="Hyperlink"/>
            <w:rFonts w:ascii="Verdana" w:eastAsia="Calibri" w:hAnsi="Verdana"/>
            <w:bCs/>
            <w:color w:val="C00000"/>
            <w:sz w:val="20"/>
          </w:rPr>
          <w:t>ECOG performance status</w:t>
        </w:r>
      </w:hyperlink>
      <w:r w:rsidRPr="000E1167">
        <w:rPr>
          <w:rFonts w:ascii="Verdana" w:eastAsia="Calibri" w:hAnsi="Verdana"/>
          <w:bCs/>
          <w:sz w:val="20"/>
        </w:rPr>
        <w:t xml:space="preserve"> 1 or greater, or use of </w:t>
      </w:r>
      <w:proofErr w:type="spellStart"/>
      <w:r w:rsidRPr="000E1167">
        <w:rPr>
          <w:rFonts w:ascii="Verdana" w:eastAsia="Calibri" w:hAnsi="Verdana"/>
          <w:bCs/>
          <w:sz w:val="20"/>
        </w:rPr>
        <w:t>chemoradiotherapy</w:t>
      </w:r>
      <w:proofErr w:type="spellEnd"/>
      <w:r w:rsidRPr="000E1167">
        <w:rPr>
          <w:rFonts w:ascii="Verdana" w:eastAsia="Calibri" w:hAnsi="Verdana"/>
          <w:bCs/>
          <w:sz w:val="20"/>
        </w:rPr>
        <w:t xml:space="preserve"> were factors associated with acute radiation toxicity.</w:t>
      </w:r>
      <w:r w:rsidRPr="000E1167">
        <w:rPr>
          <w:rFonts w:ascii="Verdana" w:eastAsia="Calibri" w:hAnsi="Verdana"/>
          <w:bCs/>
          <w:sz w:val="20"/>
        </w:rPr>
        <w:fldChar w:fldCharType="begin" w:fldLock="1"/>
      </w:r>
      <w:r w:rsidRPr="000E1167">
        <w:rPr>
          <w:rFonts w:ascii="Verdana" w:eastAsia="Calibri" w:hAnsi="Verdana"/>
          <w:bCs/>
          <w:sz w:val="20"/>
        </w:rPr>
        <w:instrText>ADDIN CSL_CITATION {"citationItems":[{"id":"ITEM-1","itemData":{"ISSN":"0360-3016","author":[{"dropping-particle":"","family":"Middelburg","given":"Judith G","non-dropping-particle":"","parse-names":false,"suffix":""},{"dropping-particle":"","family":"Mast","given":"Mirjam E","non-dropping-particle":"","parse-names":false,"suffix":""},{"dropping-particle":"","family":"Kroon","given":"Maaike","non-dropping-particle":"de","parse-names":false,"suffix":""},{"dropping-particle":"","family":"Jobsen","given":"Jan J","non-dropping-particle":"","parse-names":false,"suffix":""},{"dropping-particle":"","family":"Rozema","given":"Tom","non-dropping-particle":"","parse-names":false,"suffix":""},{"dropping-particle":"","family":"Maas","given":"Huub","non-dropping-particle":"","parse-names":false,"suffix":""},{"dropping-particle":"","family":"Baartman","given":"Elizabet A","non-dropping-particle":"","parse-names":false,"suffix":""},{"dropping-particle":"","family":"Geijsen","given":"Debby","non-dropping-particle":"","parse-names":false,"suffix":""},{"dropping-particle":"","family":"Leest","given":"Annija H","non-dropping-particle":"van der","parse-names":false,"suffix":""},{"dropping-particle":"","family":"Bongard","given":"Desirée J","non-dropping-particle":"van den","parse-names":false,"suffix":""}],"container-title":"International Journal of Radiation Oncology* Biology* Physics","id":"ITEM-1","issue":"4","issued":{"date-parts":[["2017"]]},"page":"843-849","publisher":"Elsevier","title":"Timed get up and go test and geriatric 8 scores and the association with (chemo-) radiation therapy noncompliance and acute toxicity in elderly cancer patients","type":"article-journal","volume":"98"},"uris":["http://www.mendeley.com/documents/?uuid=55b5b773-b1b9-425c-9521-816796bedccc"]}],"mendeley":{"formattedCitation":"&lt;sup&gt;47&lt;/sup&gt;","plainTextFormattedCitation":"47","previouslyFormattedCitation":"&lt;sup&gt;46&lt;/sup&gt;"},"properties":{"noteIndex":0},"schema":"https://github.com/citation-style-language/schema/raw/master/csl-citation.json"}</w:instrText>
      </w:r>
      <w:r w:rsidRPr="000E1167">
        <w:rPr>
          <w:rFonts w:ascii="Verdana" w:eastAsia="Calibri" w:hAnsi="Verdana"/>
          <w:bCs/>
          <w:sz w:val="20"/>
        </w:rPr>
        <w:fldChar w:fldCharType="separate"/>
      </w:r>
      <w:r w:rsidRPr="000E1167">
        <w:rPr>
          <w:rFonts w:ascii="Verdana" w:eastAsia="Calibri" w:hAnsi="Verdana"/>
          <w:bCs/>
          <w:noProof/>
          <w:sz w:val="20"/>
          <w:vertAlign w:val="superscript"/>
        </w:rPr>
        <w:t>47</w:t>
      </w:r>
      <w:r w:rsidRPr="000E1167">
        <w:rPr>
          <w:rFonts w:ascii="Verdana" w:eastAsia="Calibri" w:hAnsi="Verdana"/>
          <w:bCs/>
          <w:sz w:val="20"/>
        </w:rPr>
        <w:fldChar w:fldCharType="end"/>
      </w:r>
      <w:r w:rsidRPr="000E1167">
        <w:rPr>
          <w:rFonts w:ascii="Verdana" w:eastAsia="Calibri" w:hAnsi="Verdana"/>
          <w:bCs/>
          <w:sz w:val="20"/>
        </w:rPr>
        <w:t xml:space="preserve"> </w:t>
      </w:r>
    </w:p>
    <w:p w14:paraId="17D0D4D8" w14:textId="77777777" w:rsidR="000E1167" w:rsidRPr="000E1167" w:rsidRDefault="000E1167" w:rsidP="000E1167">
      <w:pPr>
        <w:spacing w:line="240" w:lineRule="auto"/>
        <w:jc w:val="both"/>
        <w:rPr>
          <w:rFonts w:ascii="Verdana" w:eastAsia="Calibri" w:hAnsi="Verdana"/>
          <w:bCs/>
          <w:sz w:val="20"/>
        </w:rPr>
      </w:pPr>
      <w:r w:rsidRPr="000E1167">
        <w:rPr>
          <w:rFonts w:ascii="Verdana" w:eastAsia="Calibri" w:hAnsi="Verdana"/>
          <w:bCs/>
          <w:sz w:val="20"/>
        </w:rPr>
        <w:t xml:space="preserve">Treatment modifications for those at high risk of toxicity may include </w:t>
      </w:r>
      <w:proofErr w:type="spellStart"/>
      <w:r w:rsidRPr="000E1167">
        <w:rPr>
          <w:rFonts w:ascii="Verdana" w:eastAsia="Calibri" w:hAnsi="Verdana"/>
          <w:bCs/>
          <w:sz w:val="20"/>
        </w:rPr>
        <w:t>prehabilitation</w:t>
      </w:r>
      <w:proofErr w:type="spellEnd"/>
      <w:r w:rsidRPr="000E1167">
        <w:rPr>
          <w:rFonts w:ascii="Verdana" w:eastAsia="Calibri" w:hAnsi="Verdana"/>
          <w:bCs/>
          <w:sz w:val="20"/>
        </w:rPr>
        <w:t xml:space="preserve">; less invasive procedures or </w:t>
      </w:r>
      <w:proofErr w:type="spellStart"/>
      <w:r w:rsidRPr="000E1167">
        <w:rPr>
          <w:rFonts w:ascii="Verdana" w:eastAsia="Calibri" w:hAnsi="Verdana"/>
          <w:bCs/>
          <w:sz w:val="20"/>
        </w:rPr>
        <w:t>nonoperative</w:t>
      </w:r>
      <w:proofErr w:type="spellEnd"/>
      <w:r w:rsidRPr="000E1167">
        <w:rPr>
          <w:rFonts w:ascii="Verdana" w:eastAsia="Calibri" w:hAnsi="Verdana"/>
          <w:bCs/>
          <w:sz w:val="20"/>
        </w:rPr>
        <w:t xml:space="preserve"> approaches; radiotherapy </w:t>
      </w:r>
      <w:proofErr w:type="spellStart"/>
      <w:r w:rsidRPr="000E1167">
        <w:rPr>
          <w:rFonts w:ascii="Verdana" w:eastAsia="Calibri" w:hAnsi="Verdana"/>
          <w:bCs/>
          <w:sz w:val="20"/>
        </w:rPr>
        <w:t>hypofractionation</w:t>
      </w:r>
      <w:proofErr w:type="spellEnd"/>
      <w:r w:rsidRPr="000E1167">
        <w:rPr>
          <w:rFonts w:ascii="Verdana" w:eastAsia="Calibri" w:hAnsi="Verdana"/>
          <w:bCs/>
          <w:sz w:val="20"/>
        </w:rPr>
        <w:t xml:space="preserve"> or other modifications to limit toxicities (stereotactic and intensity-modulated strategies); and for systemic therapies dose reduction, monotherapy, and use of targeted therapies. Multidisciplinary supportive care, caregiver engagement, and self-management also help optimize cancer care.</w:t>
      </w:r>
    </w:p>
    <w:p w14:paraId="41822348" w14:textId="77777777" w:rsidR="000E1167" w:rsidRPr="000E1167" w:rsidRDefault="000E1167" w:rsidP="000E1167">
      <w:pPr>
        <w:spacing w:line="240" w:lineRule="auto"/>
        <w:jc w:val="both"/>
        <w:rPr>
          <w:rFonts w:ascii="Verdana" w:eastAsia="Calibri" w:hAnsi="Verdana"/>
          <w:b/>
          <w:sz w:val="20"/>
        </w:rPr>
      </w:pPr>
      <w:r w:rsidRPr="000E1167">
        <w:rPr>
          <w:rFonts w:ascii="Verdana" w:eastAsia="Calibri" w:hAnsi="Verdana"/>
          <w:b/>
          <w:sz w:val="20"/>
        </w:rPr>
        <w:t>CONCLUSIONS</w:t>
      </w:r>
    </w:p>
    <w:p w14:paraId="38905F91" w14:textId="77777777" w:rsidR="000E1167" w:rsidRPr="000E1167" w:rsidRDefault="000E1167" w:rsidP="000E1167">
      <w:pPr>
        <w:spacing w:line="240" w:lineRule="auto"/>
        <w:jc w:val="both"/>
        <w:rPr>
          <w:rFonts w:ascii="Verdana" w:eastAsia="Calibri" w:hAnsi="Verdana"/>
          <w:sz w:val="20"/>
        </w:rPr>
      </w:pPr>
      <w:r w:rsidRPr="000E1167">
        <w:rPr>
          <w:rFonts w:ascii="Verdana" w:eastAsia="Calibri" w:hAnsi="Verdana"/>
          <w:bCs/>
          <w:sz w:val="20"/>
        </w:rPr>
        <w:t xml:space="preserve">The first Canadian </w:t>
      </w:r>
      <w:r w:rsidRPr="000E1167">
        <w:rPr>
          <w:rFonts w:ascii="Verdana" w:eastAsia="Calibri" w:hAnsi="Verdana"/>
          <w:sz w:val="20"/>
        </w:rPr>
        <w:t xml:space="preserve">Geriatric Oncology Conference was organized to respond to the unique needs of older adults with cancer and to address gaps in knowledge identified in a needs assessment of Canadian healthcare practitioners. It was well attended by a range of healthcare providers from across Canada. The focus was on evidence-based, interactive, and practical geriatric principles. Based on the positive reviews we are planning for the next annual conference in early 2021; details will be advertised broadly and posted on the CNAC </w:t>
      </w:r>
      <w:hyperlink r:id="rId28" w:history="1">
        <w:r w:rsidRPr="000E1167">
          <w:rPr>
            <w:rStyle w:val="Hyperlink"/>
            <w:rFonts w:ascii="Verdana" w:eastAsia="Calibri" w:hAnsi="Verdana"/>
            <w:color w:val="C00000"/>
            <w:sz w:val="20"/>
          </w:rPr>
          <w:t>website</w:t>
        </w:r>
      </w:hyperlink>
      <w:r w:rsidRPr="000E1167">
        <w:rPr>
          <w:rFonts w:ascii="Verdana" w:eastAsia="Calibri" w:hAnsi="Verdana"/>
          <w:sz w:val="20"/>
        </w:rPr>
        <w:t xml:space="preserve">. We encourage those interested in learning more about geriatric oncology to attend the next annual conference. Further, we encourage specialists in Geriatric Medicine and Care of the Elderly to contact local medical, radiation, and surgical oncologists to foster new care collaborations and grow capacity in geriatric oncology across Canada. The CNAC </w:t>
      </w:r>
      <w:hyperlink r:id="rId29" w:history="1">
        <w:r w:rsidRPr="000E1167">
          <w:rPr>
            <w:rStyle w:val="Hyperlink"/>
            <w:rFonts w:ascii="Verdana" w:eastAsia="Calibri" w:hAnsi="Verdana"/>
            <w:color w:val="C00000"/>
            <w:sz w:val="20"/>
          </w:rPr>
          <w:t>website</w:t>
        </w:r>
      </w:hyperlink>
      <w:r w:rsidRPr="000E1167">
        <w:rPr>
          <w:rFonts w:ascii="Verdana" w:eastAsia="Calibri" w:hAnsi="Verdana"/>
          <w:sz w:val="20"/>
        </w:rPr>
        <w:t xml:space="preserve"> contains further resources, conference details, and contacts for questions and collaborations.</w:t>
      </w:r>
    </w:p>
    <w:p w14:paraId="15AF126C" w14:textId="77777777" w:rsidR="000E1167" w:rsidRDefault="000E1167" w:rsidP="000E1167">
      <w:pPr>
        <w:spacing w:line="240" w:lineRule="auto"/>
        <w:ind w:left="720"/>
        <w:jc w:val="both"/>
        <w:rPr>
          <w:rFonts w:ascii="Verdana" w:eastAsia="Calibri" w:hAnsi="Verdana"/>
          <w:sz w:val="20"/>
        </w:rPr>
      </w:pPr>
    </w:p>
    <w:p w14:paraId="78627D6A" w14:textId="77777777" w:rsidR="000E1167" w:rsidRPr="000E1167" w:rsidRDefault="000E1167" w:rsidP="000E1167">
      <w:pPr>
        <w:spacing w:line="240" w:lineRule="auto"/>
        <w:ind w:left="720"/>
        <w:jc w:val="both"/>
        <w:rPr>
          <w:rFonts w:ascii="Verdana" w:eastAsia="Calibri" w:hAnsi="Verdana"/>
          <w:sz w:val="20"/>
        </w:rPr>
      </w:pPr>
    </w:p>
    <w:p w14:paraId="757256F2" w14:textId="77777777" w:rsidR="000E1167" w:rsidRPr="000E1167" w:rsidRDefault="000E1167" w:rsidP="000E1167">
      <w:pPr>
        <w:spacing w:after="0" w:line="240" w:lineRule="auto"/>
        <w:jc w:val="both"/>
        <w:rPr>
          <w:rFonts w:ascii="Verdana" w:eastAsia="Calibri" w:hAnsi="Verdana"/>
          <w:bCs/>
          <w:sz w:val="20"/>
        </w:rPr>
      </w:pPr>
    </w:p>
    <w:p w14:paraId="3E7E8377" w14:textId="77777777" w:rsidR="000E1167" w:rsidRDefault="000E1167" w:rsidP="00D42F9C">
      <w:pPr>
        <w:pStyle w:val="Pa9"/>
        <w:spacing w:line="240" w:lineRule="auto"/>
        <w:ind w:right="-720"/>
        <w:rPr>
          <w:rFonts w:ascii="Verdana" w:hAnsi="Verdana" w:cs="Univers 55"/>
          <w:b/>
          <w:color w:val="C00000"/>
          <w:sz w:val="20"/>
          <w:szCs w:val="20"/>
        </w:rPr>
      </w:pPr>
    </w:p>
    <w:p w14:paraId="16864852" w14:textId="77777777" w:rsidR="000E1167" w:rsidRDefault="000E1167" w:rsidP="00D42F9C">
      <w:pPr>
        <w:pStyle w:val="Pa9"/>
        <w:spacing w:line="240" w:lineRule="auto"/>
        <w:ind w:right="-720"/>
        <w:rPr>
          <w:rFonts w:ascii="Verdana" w:hAnsi="Verdana" w:cs="Univers 55"/>
          <w:b/>
          <w:color w:val="C00000"/>
          <w:sz w:val="20"/>
          <w:szCs w:val="20"/>
        </w:rPr>
      </w:pPr>
    </w:p>
    <w:p w14:paraId="38912E55" w14:textId="77777777" w:rsidR="000E1167" w:rsidRDefault="000E1167" w:rsidP="000E1167"/>
    <w:p w14:paraId="34AB43BA" w14:textId="77777777" w:rsidR="000E1167" w:rsidRDefault="000E1167" w:rsidP="000E1167"/>
    <w:p w14:paraId="29521009" w14:textId="77777777" w:rsidR="000E1167" w:rsidRDefault="000E1167" w:rsidP="000E1167"/>
    <w:p w14:paraId="4C3DFE76" w14:textId="77777777" w:rsidR="000E1167" w:rsidRDefault="000E1167" w:rsidP="000E1167"/>
    <w:p w14:paraId="0157E2DE" w14:textId="77777777" w:rsidR="000E1167" w:rsidRDefault="000E1167" w:rsidP="000E1167"/>
    <w:p w14:paraId="23A704A4" w14:textId="77777777" w:rsidR="000E1167" w:rsidRDefault="000E1167" w:rsidP="000E1167"/>
    <w:p w14:paraId="5969BE93" w14:textId="77777777" w:rsidR="000E1167" w:rsidRDefault="000E1167" w:rsidP="000E1167"/>
    <w:p w14:paraId="48C0FF2E" w14:textId="77777777" w:rsidR="000E1167" w:rsidRDefault="000E1167" w:rsidP="000E1167"/>
    <w:p w14:paraId="2F0A6DEA" w14:textId="77777777" w:rsidR="000E1167" w:rsidRDefault="000E1167" w:rsidP="000E1167"/>
    <w:p w14:paraId="11BA0401" w14:textId="77777777" w:rsidR="000E1167" w:rsidRPr="00D43FAC" w:rsidRDefault="000E1167" w:rsidP="000E1167">
      <w:pPr>
        <w:jc w:val="both"/>
        <w:rPr>
          <w:rFonts w:eastAsia="Calibri"/>
        </w:rPr>
      </w:pPr>
      <w:r w:rsidRPr="00D43FAC">
        <w:rPr>
          <w:rFonts w:eastAsia="Calibri"/>
          <w:b/>
        </w:rPr>
        <w:t>REFERENCES</w:t>
      </w:r>
    </w:p>
    <w:p w14:paraId="28386166"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eastAsia="Calibri" w:hAnsi="Verdana"/>
          <w:sz w:val="20"/>
          <w:szCs w:val="20"/>
        </w:rPr>
        <w:fldChar w:fldCharType="begin" w:fldLock="1"/>
      </w:r>
      <w:r w:rsidRPr="000E1167">
        <w:rPr>
          <w:rFonts w:ascii="Verdana" w:eastAsia="Calibri" w:hAnsi="Verdana"/>
          <w:sz w:val="20"/>
          <w:szCs w:val="20"/>
        </w:rPr>
        <w:instrText xml:space="preserve">ADDIN Mendeley Bibliography CSL_BIBLIOGRAPHY </w:instrText>
      </w:r>
      <w:r w:rsidRPr="000E1167">
        <w:rPr>
          <w:rFonts w:ascii="Verdana" w:eastAsia="Calibri" w:hAnsi="Verdana"/>
          <w:sz w:val="20"/>
          <w:szCs w:val="20"/>
        </w:rPr>
        <w:fldChar w:fldCharType="separate"/>
      </w:r>
      <w:r w:rsidRPr="000E1167">
        <w:rPr>
          <w:rFonts w:ascii="Verdana" w:hAnsi="Verdana"/>
          <w:noProof/>
          <w:sz w:val="20"/>
          <w:szCs w:val="20"/>
        </w:rPr>
        <w:t xml:space="preserve">1. </w:t>
      </w:r>
      <w:r w:rsidRPr="000E1167">
        <w:rPr>
          <w:rFonts w:ascii="Verdana" w:hAnsi="Verdana"/>
          <w:noProof/>
          <w:sz w:val="20"/>
          <w:szCs w:val="20"/>
        </w:rPr>
        <w:tab/>
        <w:t xml:space="preserve">Balducci L, Ershler WB. Cancer and ageing: a nexus at several levels. </w:t>
      </w:r>
      <w:r w:rsidRPr="000E1167">
        <w:rPr>
          <w:rFonts w:ascii="Verdana" w:hAnsi="Verdana"/>
          <w:i/>
          <w:iCs/>
          <w:noProof/>
          <w:sz w:val="20"/>
          <w:szCs w:val="20"/>
        </w:rPr>
        <w:t>Nat Rev Cancer</w:t>
      </w:r>
      <w:r w:rsidRPr="000E1167">
        <w:rPr>
          <w:rFonts w:ascii="Verdana" w:hAnsi="Verdana"/>
          <w:noProof/>
          <w:sz w:val="20"/>
          <w:szCs w:val="20"/>
        </w:rPr>
        <w:t>. 2005;5(8):655.</w:t>
      </w:r>
    </w:p>
    <w:p w14:paraId="15FD4107"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2. </w:t>
      </w:r>
      <w:r w:rsidRPr="000E1167">
        <w:rPr>
          <w:rFonts w:ascii="Verdana" w:hAnsi="Verdana"/>
          <w:noProof/>
          <w:sz w:val="20"/>
          <w:szCs w:val="20"/>
        </w:rPr>
        <w:tab/>
        <w:t xml:space="preserve">Ries LAG, Reichman ME, Lewis DR, Hankey BF, Edwards BK. Cancer survival and incidence from the Surveillance, Epidemiology, and End Results (SEER) program. </w:t>
      </w:r>
      <w:r w:rsidRPr="000E1167">
        <w:rPr>
          <w:rFonts w:ascii="Verdana" w:hAnsi="Verdana"/>
          <w:i/>
          <w:iCs/>
          <w:noProof/>
          <w:sz w:val="20"/>
          <w:szCs w:val="20"/>
        </w:rPr>
        <w:t>Oncologist</w:t>
      </w:r>
      <w:r w:rsidRPr="000E1167">
        <w:rPr>
          <w:rFonts w:ascii="Verdana" w:hAnsi="Verdana"/>
          <w:noProof/>
          <w:sz w:val="20"/>
          <w:szCs w:val="20"/>
        </w:rPr>
        <w:t>. 2003;8(6):541-552.</w:t>
      </w:r>
    </w:p>
    <w:p w14:paraId="2FB45B26"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3. </w:t>
      </w:r>
      <w:r w:rsidRPr="000E1167">
        <w:rPr>
          <w:rFonts w:ascii="Verdana" w:hAnsi="Verdana"/>
          <w:noProof/>
          <w:sz w:val="20"/>
          <w:szCs w:val="20"/>
        </w:rPr>
        <w:tab/>
        <w:t xml:space="preserve">Edwards BK, Howe HL, Ries LAG, et al. Annual report to the nation on the status of cancer, 1973-1999, featuring implications of age and aging on US cancer burden. </w:t>
      </w:r>
      <w:r w:rsidRPr="000E1167">
        <w:rPr>
          <w:rFonts w:ascii="Verdana" w:hAnsi="Verdana"/>
          <w:i/>
          <w:iCs/>
          <w:noProof/>
          <w:sz w:val="20"/>
          <w:szCs w:val="20"/>
        </w:rPr>
        <w:t>Cancer</w:t>
      </w:r>
      <w:r w:rsidRPr="000E1167">
        <w:rPr>
          <w:rFonts w:ascii="Verdana" w:hAnsi="Verdana"/>
          <w:noProof/>
          <w:sz w:val="20"/>
          <w:szCs w:val="20"/>
        </w:rPr>
        <w:t>. 2002;94(10):2766-2792.</w:t>
      </w:r>
    </w:p>
    <w:p w14:paraId="35197DB9"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4. </w:t>
      </w:r>
      <w:r w:rsidRPr="000E1167">
        <w:rPr>
          <w:rFonts w:ascii="Verdana" w:hAnsi="Verdana"/>
          <w:noProof/>
          <w:sz w:val="20"/>
          <w:szCs w:val="20"/>
        </w:rPr>
        <w:tab/>
        <w:t xml:space="preserve">Smith BD, Smith GL, Hurria A, Hortobagyi GN, Buchholz TA. Future of cancer incidence in the United States: burdens upon an aging, changing nation. </w:t>
      </w:r>
      <w:r w:rsidRPr="000E1167">
        <w:rPr>
          <w:rFonts w:ascii="Verdana" w:hAnsi="Verdana"/>
          <w:i/>
          <w:iCs/>
          <w:noProof/>
          <w:sz w:val="20"/>
          <w:szCs w:val="20"/>
        </w:rPr>
        <w:t>J Clin Oncol</w:t>
      </w:r>
      <w:r w:rsidRPr="000E1167">
        <w:rPr>
          <w:rFonts w:ascii="Verdana" w:hAnsi="Verdana"/>
          <w:noProof/>
          <w:sz w:val="20"/>
          <w:szCs w:val="20"/>
        </w:rPr>
        <w:t>. 2009;27(17):2758-2765.</w:t>
      </w:r>
    </w:p>
    <w:p w14:paraId="2DF8EF89"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5. </w:t>
      </w:r>
      <w:r w:rsidRPr="000E1167">
        <w:rPr>
          <w:rFonts w:ascii="Verdana" w:hAnsi="Verdana"/>
          <w:noProof/>
          <w:sz w:val="20"/>
          <w:szCs w:val="20"/>
        </w:rPr>
        <w:tab/>
        <w:t>Statistics Canada. Population Projections for Canada, Provinces and Territories: 2009-  2036. Statistics Canada.</w:t>
      </w:r>
    </w:p>
    <w:p w14:paraId="420A1FA1"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6. </w:t>
      </w:r>
      <w:r w:rsidRPr="000E1167">
        <w:rPr>
          <w:rFonts w:ascii="Verdana" w:hAnsi="Verdana"/>
          <w:noProof/>
          <w:sz w:val="20"/>
          <w:szCs w:val="20"/>
        </w:rPr>
        <w:tab/>
        <w:t>Canadian Cancer Society’s Steering Committee on Cancer Statistics. Canadian Cancer Statistics 2015. Canadian Cancer Society. http://www.cancer.ca/~/media/cancer.ca/CW/cancer information/cancer 101/Canadian cancer statistics/Canadian-Cancer-Statistics-2015-EN.pdf?la=en. Published 2015. Accessed February 8, 2020.</w:t>
      </w:r>
    </w:p>
    <w:p w14:paraId="196C3A8F"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7. </w:t>
      </w:r>
      <w:r w:rsidRPr="000E1167">
        <w:rPr>
          <w:rFonts w:ascii="Verdana" w:hAnsi="Verdana"/>
          <w:noProof/>
          <w:sz w:val="20"/>
          <w:szCs w:val="20"/>
        </w:rPr>
        <w:tab/>
        <w:t xml:space="preserve">Puts MTE, Hsu T, Szumacher E, et al. Meeting the needs of the aging population: the Canadian Network on Aging and Cancer–report on the first Network meeting, 27 April 2016. </w:t>
      </w:r>
      <w:r w:rsidRPr="000E1167">
        <w:rPr>
          <w:rFonts w:ascii="Verdana" w:hAnsi="Verdana"/>
          <w:i/>
          <w:iCs/>
          <w:noProof/>
          <w:sz w:val="20"/>
          <w:szCs w:val="20"/>
        </w:rPr>
        <w:t>Curr Oncol</w:t>
      </w:r>
      <w:r w:rsidRPr="000E1167">
        <w:rPr>
          <w:rFonts w:ascii="Verdana" w:hAnsi="Verdana"/>
          <w:noProof/>
          <w:sz w:val="20"/>
          <w:szCs w:val="20"/>
        </w:rPr>
        <w:t>. 2017;24(2):e163.</w:t>
      </w:r>
    </w:p>
    <w:p w14:paraId="680F35F8"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8. </w:t>
      </w:r>
      <w:r w:rsidRPr="000E1167">
        <w:rPr>
          <w:rFonts w:ascii="Verdana" w:hAnsi="Verdana"/>
          <w:noProof/>
          <w:sz w:val="20"/>
          <w:szCs w:val="20"/>
        </w:rPr>
        <w:tab/>
        <w:t xml:space="preserve">Clegg A, Young J, Iliffe S, Rikkert MO, Rockwood K. Frailty in elderly people. </w:t>
      </w:r>
      <w:r w:rsidRPr="000E1167">
        <w:rPr>
          <w:rFonts w:ascii="Verdana" w:hAnsi="Verdana"/>
          <w:i/>
          <w:iCs/>
          <w:noProof/>
          <w:sz w:val="20"/>
          <w:szCs w:val="20"/>
        </w:rPr>
        <w:t>Lancet</w:t>
      </w:r>
      <w:r w:rsidRPr="000E1167">
        <w:rPr>
          <w:rFonts w:ascii="Verdana" w:hAnsi="Verdana"/>
          <w:noProof/>
          <w:sz w:val="20"/>
          <w:szCs w:val="20"/>
        </w:rPr>
        <w:t>. 2013;381(9868):752-762.</w:t>
      </w:r>
    </w:p>
    <w:p w14:paraId="2A9669E0"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9. </w:t>
      </w:r>
      <w:r w:rsidRPr="000E1167">
        <w:rPr>
          <w:rFonts w:ascii="Verdana" w:hAnsi="Verdana"/>
          <w:noProof/>
          <w:sz w:val="20"/>
          <w:szCs w:val="20"/>
        </w:rPr>
        <w:tab/>
        <w:t xml:space="preserve">Handforth C, Clegg A, Young C, et al. The prevalence and outcomes of frailty in older cancer patients: a systematic review. </w:t>
      </w:r>
      <w:r w:rsidRPr="000E1167">
        <w:rPr>
          <w:rFonts w:ascii="Verdana" w:hAnsi="Verdana"/>
          <w:i/>
          <w:iCs/>
          <w:noProof/>
          <w:sz w:val="20"/>
          <w:szCs w:val="20"/>
        </w:rPr>
        <w:t>Ann Oncol</w:t>
      </w:r>
      <w:r w:rsidRPr="000E1167">
        <w:rPr>
          <w:rFonts w:ascii="Verdana" w:hAnsi="Verdana"/>
          <w:noProof/>
          <w:sz w:val="20"/>
          <w:szCs w:val="20"/>
        </w:rPr>
        <w:t>. 2015;26(6):1091-1101.</w:t>
      </w:r>
    </w:p>
    <w:p w14:paraId="676876BC"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10. </w:t>
      </w:r>
      <w:r w:rsidRPr="000E1167">
        <w:rPr>
          <w:rFonts w:ascii="Verdana" w:hAnsi="Verdana"/>
          <w:noProof/>
          <w:sz w:val="20"/>
          <w:szCs w:val="20"/>
        </w:rPr>
        <w:tab/>
        <w:t xml:space="preserve">Molnar F, Frank CC. Optimizing geriatric care with the GERIATRIC 5Ms. </w:t>
      </w:r>
      <w:r w:rsidRPr="000E1167">
        <w:rPr>
          <w:rFonts w:ascii="Verdana" w:hAnsi="Verdana"/>
          <w:i/>
          <w:iCs/>
          <w:noProof/>
          <w:sz w:val="20"/>
          <w:szCs w:val="20"/>
        </w:rPr>
        <w:t>Can Fam Physician</w:t>
      </w:r>
      <w:r w:rsidRPr="000E1167">
        <w:rPr>
          <w:rFonts w:ascii="Verdana" w:hAnsi="Verdana"/>
          <w:noProof/>
          <w:sz w:val="20"/>
          <w:szCs w:val="20"/>
        </w:rPr>
        <w:t>. 2019;65(1):39.</w:t>
      </w:r>
    </w:p>
    <w:p w14:paraId="2DA00BA0"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11. </w:t>
      </w:r>
      <w:r w:rsidRPr="000E1167">
        <w:rPr>
          <w:rFonts w:ascii="Verdana" w:hAnsi="Verdana"/>
          <w:noProof/>
          <w:sz w:val="20"/>
          <w:szCs w:val="20"/>
        </w:rPr>
        <w:tab/>
        <w:t xml:space="preserve">Hamaker ME, Te Molder M, Thielen N, van Munster BC, Schiphorst AH, van Huis LH. The effect of a geriatric evaluation on treatment decisions and outcome for older cancer patients – A systematic review. </w:t>
      </w:r>
      <w:r w:rsidRPr="000E1167">
        <w:rPr>
          <w:rFonts w:ascii="Verdana" w:hAnsi="Verdana"/>
          <w:i/>
          <w:iCs/>
          <w:noProof/>
          <w:sz w:val="20"/>
          <w:szCs w:val="20"/>
        </w:rPr>
        <w:t>J Geriatr Oncol</w:t>
      </w:r>
      <w:r w:rsidRPr="000E1167">
        <w:rPr>
          <w:rFonts w:ascii="Verdana" w:hAnsi="Verdana"/>
          <w:noProof/>
          <w:sz w:val="20"/>
          <w:szCs w:val="20"/>
        </w:rPr>
        <w:t>. 2018;9(5):430-440. doi:10.1016/j.jgo.2018.03.014</w:t>
      </w:r>
    </w:p>
    <w:p w14:paraId="6FEAC03B"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12. </w:t>
      </w:r>
      <w:r w:rsidRPr="000E1167">
        <w:rPr>
          <w:rFonts w:ascii="Verdana" w:hAnsi="Verdana"/>
          <w:noProof/>
          <w:sz w:val="20"/>
          <w:szCs w:val="20"/>
        </w:rPr>
        <w:tab/>
        <w:t xml:space="preserve">Hamaker ME, Schiphorst AH, ten Bokkel Huinink D, Schaar C, van Munster BC. The effect of a geriatric evaluation on treatment decisions for older cancer patients–a systematic review. </w:t>
      </w:r>
      <w:r w:rsidRPr="000E1167">
        <w:rPr>
          <w:rFonts w:ascii="Verdana" w:hAnsi="Verdana"/>
          <w:i/>
          <w:iCs/>
          <w:noProof/>
          <w:sz w:val="20"/>
          <w:szCs w:val="20"/>
        </w:rPr>
        <w:t>Acta Oncol (Madr)</w:t>
      </w:r>
      <w:r w:rsidRPr="000E1167">
        <w:rPr>
          <w:rFonts w:ascii="Verdana" w:hAnsi="Verdana"/>
          <w:noProof/>
          <w:sz w:val="20"/>
          <w:szCs w:val="20"/>
        </w:rPr>
        <w:t>. 2014;53(3):289-296.</w:t>
      </w:r>
    </w:p>
    <w:p w14:paraId="1BDD7FBC"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13. </w:t>
      </w:r>
      <w:r w:rsidRPr="000E1167">
        <w:rPr>
          <w:rFonts w:ascii="Verdana" w:hAnsi="Verdana"/>
          <w:noProof/>
          <w:sz w:val="20"/>
          <w:szCs w:val="20"/>
        </w:rPr>
        <w:tab/>
        <w:t xml:space="preserve">Hurria A, Mohile S, Gajra A, et al. Validation of a prediction tool for chemotherapy toxicity in older adults with cancer. </w:t>
      </w:r>
      <w:r w:rsidRPr="000E1167">
        <w:rPr>
          <w:rFonts w:ascii="Verdana" w:hAnsi="Verdana"/>
          <w:i/>
          <w:iCs/>
          <w:noProof/>
          <w:sz w:val="20"/>
          <w:szCs w:val="20"/>
        </w:rPr>
        <w:t>J Clin Oncol</w:t>
      </w:r>
      <w:r w:rsidRPr="000E1167">
        <w:rPr>
          <w:rFonts w:ascii="Verdana" w:hAnsi="Verdana"/>
          <w:noProof/>
          <w:sz w:val="20"/>
          <w:szCs w:val="20"/>
        </w:rPr>
        <w:t>. 2016;34(20):2366.</w:t>
      </w:r>
    </w:p>
    <w:p w14:paraId="1B7A2325"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14. </w:t>
      </w:r>
      <w:r w:rsidRPr="000E1167">
        <w:rPr>
          <w:rFonts w:ascii="Verdana" w:hAnsi="Verdana"/>
          <w:noProof/>
          <w:sz w:val="20"/>
          <w:szCs w:val="20"/>
        </w:rPr>
        <w:tab/>
        <w:t xml:space="preserve">Mohile SG, Dale W, Somerfield MR, et al. Practical assessment and management of vulnerabilities in older patients receiving chemotherapy: ASCO guideline for geriatric oncology. </w:t>
      </w:r>
      <w:r w:rsidRPr="000E1167">
        <w:rPr>
          <w:rFonts w:ascii="Verdana" w:hAnsi="Verdana"/>
          <w:i/>
          <w:iCs/>
          <w:noProof/>
          <w:sz w:val="20"/>
          <w:szCs w:val="20"/>
        </w:rPr>
        <w:t>J Clin Oncol</w:t>
      </w:r>
      <w:r w:rsidRPr="000E1167">
        <w:rPr>
          <w:rFonts w:ascii="Verdana" w:hAnsi="Verdana"/>
          <w:noProof/>
          <w:sz w:val="20"/>
          <w:szCs w:val="20"/>
        </w:rPr>
        <w:t>. 2018;36(22):2326.</w:t>
      </w:r>
    </w:p>
    <w:p w14:paraId="37A2FFBC"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15. </w:t>
      </w:r>
      <w:r w:rsidRPr="000E1167">
        <w:rPr>
          <w:rFonts w:ascii="Verdana" w:hAnsi="Verdana"/>
          <w:noProof/>
          <w:sz w:val="20"/>
          <w:szCs w:val="20"/>
        </w:rPr>
        <w:tab/>
        <w:t>Lee S, Smith A, Widera E, Yourman L, Schonberg M, Ahalt C. ePrognosis. https://eprognosis.ucsf.edu/index.php. Accessed January 6, 2018.</w:t>
      </w:r>
    </w:p>
    <w:p w14:paraId="0339991B"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lastRenderedPageBreak/>
        <w:t xml:space="preserve">16. </w:t>
      </w:r>
      <w:r w:rsidRPr="000E1167">
        <w:rPr>
          <w:rFonts w:ascii="Verdana" w:hAnsi="Verdana"/>
          <w:noProof/>
          <w:sz w:val="20"/>
          <w:szCs w:val="20"/>
        </w:rPr>
        <w:tab/>
        <w:t xml:space="preserve">Hurria A, Togawa K, Mohile SG, et al. Predicting chemotherapy toxicity in older adults with cancer: a prospective multicenter study. </w:t>
      </w:r>
      <w:r w:rsidRPr="000E1167">
        <w:rPr>
          <w:rFonts w:ascii="Verdana" w:hAnsi="Verdana"/>
          <w:i/>
          <w:iCs/>
          <w:noProof/>
          <w:sz w:val="20"/>
          <w:szCs w:val="20"/>
        </w:rPr>
        <w:t>J Clin Oncol</w:t>
      </w:r>
      <w:r w:rsidRPr="000E1167">
        <w:rPr>
          <w:rFonts w:ascii="Verdana" w:hAnsi="Verdana"/>
          <w:noProof/>
          <w:sz w:val="20"/>
          <w:szCs w:val="20"/>
        </w:rPr>
        <w:t>. 2011;29(25):3457.</w:t>
      </w:r>
    </w:p>
    <w:p w14:paraId="53B35110"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17. </w:t>
      </w:r>
      <w:r w:rsidRPr="000E1167">
        <w:rPr>
          <w:rFonts w:ascii="Verdana" w:hAnsi="Verdana"/>
          <w:noProof/>
          <w:sz w:val="20"/>
          <w:szCs w:val="20"/>
        </w:rPr>
        <w:tab/>
        <w:t xml:space="preserve">Liu Y, Cohen ME, Hall BL, Ko CY, Bilimoria KY. Evaluation and enhancement of calibration in the American College of Surgeons NSQIP Surgical Risk Calculator. </w:t>
      </w:r>
      <w:r w:rsidRPr="000E1167">
        <w:rPr>
          <w:rFonts w:ascii="Verdana" w:hAnsi="Verdana"/>
          <w:i/>
          <w:iCs/>
          <w:noProof/>
          <w:sz w:val="20"/>
          <w:szCs w:val="20"/>
        </w:rPr>
        <w:t>J Am Coll Surg</w:t>
      </w:r>
      <w:r w:rsidRPr="000E1167">
        <w:rPr>
          <w:rFonts w:ascii="Verdana" w:hAnsi="Verdana"/>
          <w:noProof/>
          <w:sz w:val="20"/>
          <w:szCs w:val="20"/>
        </w:rPr>
        <w:t>. 2016;223(2):231-239.</w:t>
      </w:r>
    </w:p>
    <w:p w14:paraId="2139ABC2"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18. </w:t>
      </w:r>
      <w:r w:rsidRPr="000E1167">
        <w:rPr>
          <w:rFonts w:ascii="Verdana" w:hAnsi="Verdana"/>
          <w:noProof/>
          <w:sz w:val="20"/>
          <w:szCs w:val="20"/>
        </w:rPr>
        <w:tab/>
        <w:t>Hurria A, Gupta S, Zauderer M, et al. Developing a cancer</w:t>
      </w:r>
      <w:r w:rsidRPr="000E1167">
        <w:rPr>
          <w:rFonts w:ascii="Cambria Math" w:hAnsi="Cambria Math" w:cs="Cambria Math"/>
          <w:noProof/>
          <w:sz w:val="20"/>
          <w:szCs w:val="20"/>
        </w:rPr>
        <w:t>‐</w:t>
      </w:r>
      <w:r w:rsidRPr="000E1167">
        <w:rPr>
          <w:rFonts w:ascii="Verdana" w:hAnsi="Verdana"/>
          <w:noProof/>
          <w:sz w:val="20"/>
          <w:szCs w:val="20"/>
        </w:rPr>
        <w:t xml:space="preserve">specific geriatric assessment: A feasibility study. </w:t>
      </w:r>
      <w:r w:rsidRPr="000E1167">
        <w:rPr>
          <w:rFonts w:ascii="Verdana" w:hAnsi="Verdana"/>
          <w:i/>
          <w:iCs/>
          <w:noProof/>
          <w:sz w:val="20"/>
          <w:szCs w:val="20"/>
        </w:rPr>
        <w:t>Cancer Interdiscip Int J Am Cancer Soc</w:t>
      </w:r>
      <w:r w:rsidRPr="000E1167">
        <w:rPr>
          <w:rFonts w:ascii="Verdana" w:hAnsi="Verdana"/>
          <w:noProof/>
          <w:sz w:val="20"/>
          <w:szCs w:val="20"/>
        </w:rPr>
        <w:t>. 2005;104(9):1998-2005.</w:t>
      </w:r>
    </w:p>
    <w:p w14:paraId="3C7EECE5"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19. </w:t>
      </w:r>
      <w:r w:rsidRPr="000E1167">
        <w:rPr>
          <w:rFonts w:ascii="Verdana" w:hAnsi="Verdana"/>
          <w:noProof/>
          <w:sz w:val="20"/>
          <w:szCs w:val="20"/>
        </w:rPr>
        <w:tab/>
        <w:t xml:space="preserve">Shahrokni A, Tin A, Downey RJ, et al. Electronic rapid fitness assessment: a novel tool for preoperative evaluation of the geriatric oncology patient. </w:t>
      </w:r>
      <w:r w:rsidRPr="000E1167">
        <w:rPr>
          <w:rFonts w:ascii="Verdana" w:hAnsi="Verdana"/>
          <w:i/>
          <w:iCs/>
          <w:noProof/>
          <w:sz w:val="20"/>
          <w:szCs w:val="20"/>
        </w:rPr>
        <w:t>J Natl Compr Cancer Netw</w:t>
      </w:r>
      <w:r w:rsidRPr="000E1167">
        <w:rPr>
          <w:rFonts w:ascii="Verdana" w:hAnsi="Verdana"/>
          <w:noProof/>
          <w:sz w:val="20"/>
          <w:szCs w:val="20"/>
        </w:rPr>
        <w:t>. 2017;15(2):172-179.</w:t>
      </w:r>
    </w:p>
    <w:p w14:paraId="6C52E89A"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20. </w:t>
      </w:r>
      <w:r w:rsidRPr="000E1167">
        <w:rPr>
          <w:rFonts w:ascii="Verdana" w:hAnsi="Verdana"/>
          <w:noProof/>
          <w:sz w:val="20"/>
          <w:szCs w:val="20"/>
        </w:rPr>
        <w:tab/>
        <w:t xml:space="preserve">Hamaker ME, Jonker JM, de Rooij SE, Vos AG, Smorenburg CH, van Munster BC. Frailty screening methods for predicting outcome of a comprehensive geriatric assessment in elderly patients with cancer: a systematic review. </w:t>
      </w:r>
      <w:r w:rsidRPr="000E1167">
        <w:rPr>
          <w:rFonts w:ascii="Verdana" w:hAnsi="Verdana"/>
          <w:i/>
          <w:iCs/>
          <w:noProof/>
          <w:sz w:val="20"/>
          <w:szCs w:val="20"/>
        </w:rPr>
        <w:t>Lancet Oncol</w:t>
      </w:r>
      <w:r w:rsidRPr="000E1167">
        <w:rPr>
          <w:rFonts w:ascii="Verdana" w:hAnsi="Verdana"/>
          <w:noProof/>
          <w:sz w:val="20"/>
          <w:szCs w:val="20"/>
        </w:rPr>
        <w:t>. 2012;13(10):e437-e444.</w:t>
      </w:r>
    </w:p>
    <w:p w14:paraId="43B24CDD"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21. </w:t>
      </w:r>
      <w:r w:rsidRPr="000E1167">
        <w:rPr>
          <w:rFonts w:ascii="Verdana" w:hAnsi="Verdana"/>
          <w:noProof/>
          <w:sz w:val="20"/>
          <w:szCs w:val="20"/>
        </w:rPr>
        <w:tab/>
        <w:t xml:space="preserve">Kenis C, Bron D, Libert Y, et al. Relevance of a systematic geriatric screening and assessment in older patients with cancer: results of a prospective multicentric study. </w:t>
      </w:r>
      <w:r w:rsidRPr="000E1167">
        <w:rPr>
          <w:rFonts w:ascii="Verdana" w:hAnsi="Verdana"/>
          <w:i/>
          <w:iCs/>
          <w:noProof/>
          <w:sz w:val="20"/>
          <w:szCs w:val="20"/>
        </w:rPr>
        <w:t>Ann Oncol</w:t>
      </w:r>
      <w:r w:rsidRPr="000E1167">
        <w:rPr>
          <w:rFonts w:ascii="Verdana" w:hAnsi="Verdana"/>
          <w:noProof/>
          <w:sz w:val="20"/>
          <w:szCs w:val="20"/>
        </w:rPr>
        <w:t>. 2013;24(5):1306-1312.</w:t>
      </w:r>
    </w:p>
    <w:p w14:paraId="2A3B89F0"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lang w:val="fr-CA"/>
        </w:rPr>
      </w:pPr>
      <w:r w:rsidRPr="000E1167">
        <w:rPr>
          <w:rFonts w:ascii="Verdana" w:hAnsi="Verdana"/>
          <w:noProof/>
          <w:sz w:val="20"/>
          <w:szCs w:val="20"/>
        </w:rPr>
        <w:t xml:space="preserve">22. </w:t>
      </w:r>
      <w:r w:rsidRPr="000E1167">
        <w:rPr>
          <w:rFonts w:ascii="Verdana" w:hAnsi="Verdana"/>
          <w:noProof/>
          <w:sz w:val="20"/>
          <w:szCs w:val="20"/>
        </w:rPr>
        <w:tab/>
        <w:t xml:space="preserve">van der Willik KD, Schagen SB, Ikram MA. Cancer and dementia: Two sides of the same coin? </w:t>
      </w:r>
      <w:r w:rsidRPr="000E1167">
        <w:rPr>
          <w:rFonts w:ascii="Verdana" w:hAnsi="Verdana"/>
          <w:i/>
          <w:iCs/>
          <w:noProof/>
          <w:sz w:val="20"/>
          <w:szCs w:val="20"/>
          <w:lang w:val="fr-CA"/>
        </w:rPr>
        <w:t>Eur J Clin Invest</w:t>
      </w:r>
      <w:r w:rsidRPr="000E1167">
        <w:rPr>
          <w:rFonts w:ascii="Verdana" w:hAnsi="Verdana"/>
          <w:noProof/>
          <w:sz w:val="20"/>
          <w:szCs w:val="20"/>
          <w:lang w:val="fr-CA"/>
        </w:rPr>
        <w:t>. 2018;48(11):e13019.</w:t>
      </w:r>
    </w:p>
    <w:p w14:paraId="492772E3"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lang w:val="fr-CA"/>
        </w:rPr>
        <w:t xml:space="preserve">23. </w:t>
      </w:r>
      <w:r w:rsidRPr="000E1167">
        <w:rPr>
          <w:rFonts w:ascii="Verdana" w:hAnsi="Verdana"/>
          <w:noProof/>
          <w:sz w:val="20"/>
          <w:szCs w:val="20"/>
          <w:lang w:val="fr-CA"/>
        </w:rPr>
        <w:tab/>
        <w:t xml:space="preserve">Lange M, Joly F, Vardy J, et al. </w:t>
      </w:r>
      <w:r w:rsidRPr="000E1167">
        <w:rPr>
          <w:rFonts w:ascii="Verdana" w:hAnsi="Verdana"/>
          <w:noProof/>
          <w:sz w:val="20"/>
          <w:szCs w:val="20"/>
        </w:rPr>
        <w:t xml:space="preserve">Cancer-related cognitive impairment: an update on state of the art, detection, and management strategies in cancer survivors. </w:t>
      </w:r>
      <w:r w:rsidRPr="000E1167">
        <w:rPr>
          <w:rFonts w:ascii="Verdana" w:hAnsi="Verdana"/>
          <w:i/>
          <w:iCs/>
          <w:noProof/>
          <w:sz w:val="20"/>
          <w:szCs w:val="20"/>
        </w:rPr>
        <w:t>Ann Oncol</w:t>
      </w:r>
      <w:r w:rsidRPr="000E1167">
        <w:rPr>
          <w:rFonts w:ascii="Verdana" w:hAnsi="Verdana"/>
          <w:noProof/>
          <w:sz w:val="20"/>
          <w:szCs w:val="20"/>
        </w:rPr>
        <w:t>. 2019;30(12):1925-1940.</w:t>
      </w:r>
    </w:p>
    <w:p w14:paraId="096F38DF"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24. </w:t>
      </w:r>
      <w:r w:rsidRPr="000E1167">
        <w:rPr>
          <w:rFonts w:ascii="Verdana" w:hAnsi="Verdana"/>
          <w:noProof/>
          <w:sz w:val="20"/>
          <w:szCs w:val="20"/>
        </w:rPr>
        <w:tab/>
        <w:t xml:space="preserve">McWilliams L, Farrell C, Grande G, Keady J, Swarbrick C, Yorke J. A systematic review of the prevalence of comorbid cancer and dementia and its implications for cancer-related care. </w:t>
      </w:r>
      <w:r w:rsidRPr="000E1167">
        <w:rPr>
          <w:rFonts w:ascii="Verdana" w:hAnsi="Verdana"/>
          <w:i/>
          <w:iCs/>
          <w:noProof/>
          <w:sz w:val="20"/>
          <w:szCs w:val="20"/>
        </w:rPr>
        <w:t>Aging Ment Health</w:t>
      </w:r>
      <w:r w:rsidRPr="000E1167">
        <w:rPr>
          <w:rFonts w:ascii="Verdana" w:hAnsi="Verdana"/>
          <w:noProof/>
          <w:sz w:val="20"/>
          <w:szCs w:val="20"/>
        </w:rPr>
        <w:t>. 2018;22(10):1254-1271.</w:t>
      </w:r>
    </w:p>
    <w:p w14:paraId="0AE584A7"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25. </w:t>
      </w:r>
      <w:r w:rsidRPr="000E1167">
        <w:rPr>
          <w:rFonts w:ascii="Verdana" w:hAnsi="Verdana"/>
          <w:noProof/>
          <w:sz w:val="20"/>
          <w:szCs w:val="20"/>
        </w:rPr>
        <w:tab/>
        <w:t xml:space="preserve">Edelstein A, Pergolizzi D, Alici Y. Cancer-related cognitive impairment in older adults. </w:t>
      </w:r>
      <w:r w:rsidRPr="000E1167">
        <w:rPr>
          <w:rFonts w:ascii="Verdana" w:hAnsi="Verdana"/>
          <w:i/>
          <w:iCs/>
          <w:noProof/>
          <w:sz w:val="20"/>
          <w:szCs w:val="20"/>
        </w:rPr>
        <w:t>Curr Opin Support Palliat Care</w:t>
      </w:r>
      <w:r w:rsidRPr="000E1167">
        <w:rPr>
          <w:rFonts w:ascii="Verdana" w:hAnsi="Verdana"/>
          <w:noProof/>
          <w:sz w:val="20"/>
          <w:szCs w:val="20"/>
        </w:rPr>
        <w:t>. 2017;11(1):60-69.</w:t>
      </w:r>
    </w:p>
    <w:p w14:paraId="221EB2A4"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26. </w:t>
      </w:r>
      <w:r w:rsidRPr="000E1167">
        <w:rPr>
          <w:rFonts w:ascii="Verdana" w:hAnsi="Verdana"/>
          <w:noProof/>
          <w:sz w:val="20"/>
          <w:szCs w:val="20"/>
        </w:rPr>
        <w:tab/>
        <w:t xml:space="preserve">Festen S, Kok M, Hopstaken JS, et al. How to incorporate geriatric assessment in clinical decision-making for older patients with cancer. An implementation study. </w:t>
      </w:r>
      <w:r w:rsidRPr="000E1167">
        <w:rPr>
          <w:rFonts w:ascii="Verdana" w:hAnsi="Verdana"/>
          <w:i/>
          <w:iCs/>
          <w:noProof/>
          <w:sz w:val="20"/>
          <w:szCs w:val="20"/>
        </w:rPr>
        <w:t>J Geriatr Oncol</w:t>
      </w:r>
      <w:r w:rsidRPr="000E1167">
        <w:rPr>
          <w:rFonts w:ascii="Verdana" w:hAnsi="Verdana"/>
          <w:noProof/>
          <w:sz w:val="20"/>
          <w:szCs w:val="20"/>
        </w:rPr>
        <w:t>. 2019;10(6):951-959.</w:t>
      </w:r>
    </w:p>
    <w:p w14:paraId="0EB80B5B"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27. </w:t>
      </w:r>
      <w:r w:rsidRPr="000E1167">
        <w:rPr>
          <w:rFonts w:ascii="Verdana" w:hAnsi="Verdana"/>
          <w:noProof/>
          <w:sz w:val="20"/>
          <w:szCs w:val="20"/>
        </w:rPr>
        <w:tab/>
        <w:t xml:space="preserve">Caillet P, Laurent M, Bastuji-Garin S, et al. Optimal management of elderly cancer patients: usefulness of the Comprehensive Geriatric Assessment. </w:t>
      </w:r>
      <w:r w:rsidRPr="000E1167">
        <w:rPr>
          <w:rFonts w:ascii="Verdana" w:hAnsi="Verdana"/>
          <w:i/>
          <w:iCs/>
          <w:noProof/>
          <w:sz w:val="20"/>
          <w:szCs w:val="20"/>
        </w:rPr>
        <w:t>Clin Interv Aging</w:t>
      </w:r>
      <w:r w:rsidRPr="000E1167">
        <w:rPr>
          <w:rFonts w:ascii="Verdana" w:hAnsi="Verdana"/>
          <w:noProof/>
          <w:sz w:val="20"/>
          <w:szCs w:val="20"/>
        </w:rPr>
        <w:t>. 2014;9:1645.</w:t>
      </w:r>
    </w:p>
    <w:p w14:paraId="45986A5D"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28. </w:t>
      </w:r>
      <w:r w:rsidRPr="000E1167">
        <w:rPr>
          <w:rFonts w:ascii="Verdana" w:hAnsi="Verdana"/>
          <w:noProof/>
          <w:sz w:val="20"/>
          <w:szCs w:val="20"/>
        </w:rPr>
        <w:tab/>
        <w:t xml:space="preserve">Kim K, Park K-H, Koo K-H, Han H-S, Kim C-H. Comprehensive geriatric assessment can predict postoperative morbidity and mortality in elderly patients undergoing elective surgery. </w:t>
      </w:r>
      <w:r w:rsidRPr="000E1167">
        <w:rPr>
          <w:rFonts w:ascii="Verdana" w:hAnsi="Verdana"/>
          <w:i/>
          <w:iCs/>
          <w:noProof/>
          <w:sz w:val="20"/>
          <w:szCs w:val="20"/>
        </w:rPr>
        <w:t>Arch Gerontol Geriatr</w:t>
      </w:r>
      <w:r w:rsidRPr="000E1167">
        <w:rPr>
          <w:rFonts w:ascii="Verdana" w:hAnsi="Verdana"/>
          <w:noProof/>
          <w:sz w:val="20"/>
          <w:szCs w:val="20"/>
        </w:rPr>
        <w:t>. 2013;56(3):507-512.</w:t>
      </w:r>
    </w:p>
    <w:p w14:paraId="0335567E"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29. </w:t>
      </w:r>
      <w:r w:rsidRPr="000E1167">
        <w:rPr>
          <w:rFonts w:ascii="Verdana" w:hAnsi="Verdana"/>
          <w:noProof/>
          <w:sz w:val="20"/>
          <w:szCs w:val="20"/>
        </w:rPr>
        <w:tab/>
        <w:t xml:space="preserve">Berian JR, Zhou L, Hornor MA, et al. Optimizing surgical quality datasets to care for older adults: lessons from the American College of Surgeons NSQIP Geriatric Surgery Pilot. </w:t>
      </w:r>
      <w:r w:rsidRPr="000E1167">
        <w:rPr>
          <w:rFonts w:ascii="Verdana" w:hAnsi="Verdana"/>
          <w:i/>
          <w:iCs/>
          <w:noProof/>
          <w:sz w:val="20"/>
          <w:szCs w:val="20"/>
        </w:rPr>
        <w:t>J Am Coll Surg</w:t>
      </w:r>
      <w:r w:rsidRPr="000E1167">
        <w:rPr>
          <w:rFonts w:ascii="Verdana" w:hAnsi="Verdana"/>
          <w:noProof/>
          <w:sz w:val="20"/>
          <w:szCs w:val="20"/>
        </w:rPr>
        <w:t>. 2017;225(6):702-712.</w:t>
      </w:r>
    </w:p>
    <w:p w14:paraId="3043D80C"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30. </w:t>
      </w:r>
      <w:r w:rsidRPr="000E1167">
        <w:rPr>
          <w:rFonts w:ascii="Verdana" w:hAnsi="Verdana"/>
          <w:noProof/>
          <w:sz w:val="20"/>
          <w:szCs w:val="20"/>
        </w:rPr>
        <w:tab/>
        <w:t xml:space="preserve">Silver JK, Baima J. Cancer prehabilitation: an opportunity to decrease treatment-related morbidity, increase cancer treatment options, and improve physical and psychological health outcomes. </w:t>
      </w:r>
      <w:r w:rsidRPr="000E1167">
        <w:rPr>
          <w:rFonts w:ascii="Verdana" w:hAnsi="Verdana"/>
          <w:i/>
          <w:iCs/>
          <w:noProof/>
          <w:sz w:val="20"/>
          <w:szCs w:val="20"/>
        </w:rPr>
        <w:t>Am J Phys Med Rehabil</w:t>
      </w:r>
      <w:r w:rsidRPr="000E1167">
        <w:rPr>
          <w:rFonts w:ascii="Verdana" w:hAnsi="Verdana"/>
          <w:noProof/>
          <w:sz w:val="20"/>
          <w:szCs w:val="20"/>
        </w:rPr>
        <w:t>. 2013;92(8):715-727.</w:t>
      </w:r>
    </w:p>
    <w:p w14:paraId="35C407A6"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31. </w:t>
      </w:r>
      <w:r w:rsidRPr="000E1167">
        <w:rPr>
          <w:rFonts w:ascii="Verdana" w:hAnsi="Verdana"/>
          <w:noProof/>
          <w:sz w:val="20"/>
          <w:szCs w:val="20"/>
        </w:rPr>
        <w:tab/>
        <w:t xml:space="preserve">Santa Mina D, Clarke H, Ritvo P, et al. Effect of total-body prehabilitation on postoperative outcomes: a systematic review and meta-analysis. </w:t>
      </w:r>
      <w:r w:rsidRPr="000E1167">
        <w:rPr>
          <w:rFonts w:ascii="Verdana" w:hAnsi="Verdana"/>
          <w:i/>
          <w:iCs/>
          <w:noProof/>
          <w:sz w:val="20"/>
          <w:szCs w:val="20"/>
        </w:rPr>
        <w:t>Physiotherapy</w:t>
      </w:r>
      <w:r w:rsidRPr="000E1167">
        <w:rPr>
          <w:rFonts w:ascii="Verdana" w:hAnsi="Verdana"/>
          <w:noProof/>
          <w:sz w:val="20"/>
          <w:szCs w:val="20"/>
        </w:rPr>
        <w:t>. 2014;100(3):196-207.</w:t>
      </w:r>
    </w:p>
    <w:p w14:paraId="3C663A21"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32. </w:t>
      </w:r>
      <w:r w:rsidRPr="000E1167">
        <w:rPr>
          <w:rFonts w:ascii="Verdana" w:hAnsi="Verdana"/>
          <w:noProof/>
          <w:sz w:val="20"/>
          <w:szCs w:val="20"/>
        </w:rPr>
        <w:tab/>
        <w:t xml:space="preserve">Janssen TL, Steyerberg EW, Langenberg JCM, et al. Multimodal prehabilitation to reduce the incidence of delirium and other adverse events in elderly patients undergoing elective major abdominal surgery: </w:t>
      </w:r>
      <w:r w:rsidRPr="000E1167">
        <w:rPr>
          <w:rFonts w:ascii="Verdana" w:hAnsi="Verdana"/>
          <w:noProof/>
          <w:sz w:val="20"/>
          <w:szCs w:val="20"/>
        </w:rPr>
        <w:lastRenderedPageBreak/>
        <w:t xml:space="preserve">An uncontrolled before-and-after study. </w:t>
      </w:r>
      <w:r w:rsidRPr="000E1167">
        <w:rPr>
          <w:rFonts w:ascii="Verdana" w:hAnsi="Verdana"/>
          <w:i/>
          <w:iCs/>
          <w:noProof/>
          <w:sz w:val="20"/>
          <w:szCs w:val="20"/>
        </w:rPr>
        <w:t>PLoS One</w:t>
      </w:r>
      <w:r w:rsidRPr="000E1167">
        <w:rPr>
          <w:rFonts w:ascii="Verdana" w:hAnsi="Verdana"/>
          <w:noProof/>
          <w:sz w:val="20"/>
          <w:szCs w:val="20"/>
        </w:rPr>
        <w:t>. 2019;14(6).</w:t>
      </w:r>
    </w:p>
    <w:p w14:paraId="38D0E120"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33. </w:t>
      </w:r>
      <w:r w:rsidRPr="000E1167">
        <w:rPr>
          <w:rFonts w:ascii="Verdana" w:hAnsi="Verdana"/>
          <w:noProof/>
          <w:sz w:val="20"/>
          <w:szCs w:val="20"/>
        </w:rPr>
        <w:tab/>
        <w:t xml:space="preserve">Barberan-Garcia A, Ubré M, Roca J, et al. Personalised prehabilitation in high-risk patients undergoing elective major abdominal surgery: a randomized blinded controlled trial. </w:t>
      </w:r>
      <w:r w:rsidRPr="000E1167">
        <w:rPr>
          <w:rFonts w:ascii="Verdana" w:hAnsi="Verdana"/>
          <w:i/>
          <w:iCs/>
          <w:noProof/>
          <w:sz w:val="20"/>
          <w:szCs w:val="20"/>
        </w:rPr>
        <w:t>Ann Surg</w:t>
      </w:r>
      <w:r w:rsidRPr="000E1167">
        <w:rPr>
          <w:rFonts w:ascii="Verdana" w:hAnsi="Verdana"/>
          <w:noProof/>
          <w:sz w:val="20"/>
          <w:szCs w:val="20"/>
        </w:rPr>
        <w:t>. 2018;267(1):50-56.</w:t>
      </w:r>
    </w:p>
    <w:p w14:paraId="405959FF"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34. </w:t>
      </w:r>
      <w:r w:rsidRPr="000E1167">
        <w:rPr>
          <w:rFonts w:ascii="Verdana" w:hAnsi="Verdana"/>
          <w:noProof/>
          <w:sz w:val="20"/>
          <w:szCs w:val="20"/>
        </w:rPr>
        <w:tab/>
        <w:t xml:space="preserve">Barberan-Garcia A, Ubre M, Pascual-Argente N, et al. Post-discharge impact and cost-consequence analysis of prehabilitation in high-risk patients undergoing major abdominal surgery: secondary results from a randomised controlled trial. </w:t>
      </w:r>
      <w:r w:rsidRPr="000E1167">
        <w:rPr>
          <w:rFonts w:ascii="Verdana" w:hAnsi="Verdana"/>
          <w:i/>
          <w:iCs/>
          <w:noProof/>
          <w:sz w:val="20"/>
          <w:szCs w:val="20"/>
        </w:rPr>
        <w:t>Br J Anaesth</w:t>
      </w:r>
      <w:r w:rsidRPr="000E1167">
        <w:rPr>
          <w:rFonts w:ascii="Verdana" w:hAnsi="Verdana"/>
          <w:noProof/>
          <w:sz w:val="20"/>
          <w:szCs w:val="20"/>
        </w:rPr>
        <w:t>. 2019;123(4):450-456.</w:t>
      </w:r>
    </w:p>
    <w:p w14:paraId="3EDE6F84"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35. </w:t>
      </w:r>
      <w:r w:rsidRPr="000E1167">
        <w:rPr>
          <w:rFonts w:ascii="Verdana" w:hAnsi="Verdana"/>
          <w:noProof/>
          <w:sz w:val="20"/>
          <w:szCs w:val="20"/>
        </w:rPr>
        <w:tab/>
        <w:t xml:space="preserve">Santa Mina D, Alibhai SMH. Prehabilitation in geriatric oncology. </w:t>
      </w:r>
      <w:r w:rsidRPr="000E1167">
        <w:rPr>
          <w:rFonts w:ascii="Verdana" w:hAnsi="Verdana"/>
          <w:i/>
          <w:iCs/>
          <w:noProof/>
          <w:sz w:val="20"/>
          <w:szCs w:val="20"/>
        </w:rPr>
        <w:t>J Geriatr Oncol</w:t>
      </w:r>
      <w:r w:rsidRPr="000E1167">
        <w:rPr>
          <w:rFonts w:ascii="Verdana" w:hAnsi="Verdana"/>
          <w:noProof/>
          <w:sz w:val="20"/>
          <w:szCs w:val="20"/>
        </w:rPr>
        <w:t>. 2019.</w:t>
      </w:r>
    </w:p>
    <w:p w14:paraId="7668F9A9"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36. </w:t>
      </w:r>
      <w:r w:rsidRPr="000E1167">
        <w:rPr>
          <w:rFonts w:ascii="Verdana" w:hAnsi="Verdana"/>
          <w:noProof/>
          <w:sz w:val="20"/>
          <w:szCs w:val="20"/>
        </w:rPr>
        <w:tab/>
        <w:t xml:space="preserve">Puts MTE, Sattar S, Kulik M, et al. A randomized phase II trial of geriatric assessment and management for older cancer patients. </w:t>
      </w:r>
      <w:r w:rsidRPr="000E1167">
        <w:rPr>
          <w:rFonts w:ascii="Verdana" w:hAnsi="Verdana"/>
          <w:i/>
          <w:iCs/>
          <w:noProof/>
          <w:sz w:val="20"/>
          <w:szCs w:val="20"/>
        </w:rPr>
        <w:t>Support Care Cancer</w:t>
      </w:r>
      <w:r w:rsidRPr="000E1167">
        <w:rPr>
          <w:rFonts w:ascii="Verdana" w:hAnsi="Verdana"/>
          <w:noProof/>
          <w:sz w:val="20"/>
          <w:szCs w:val="20"/>
        </w:rPr>
        <w:t>. 2018;26(1):109-117.</w:t>
      </w:r>
    </w:p>
    <w:p w14:paraId="343EB903"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37. </w:t>
      </w:r>
      <w:r w:rsidRPr="000E1167">
        <w:rPr>
          <w:rFonts w:ascii="Verdana" w:hAnsi="Verdana"/>
          <w:noProof/>
          <w:sz w:val="20"/>
          <w:szCs w:val="20"/>
        </w:rPr>
        <w:tab/>
        <w:t xml:space="preserve">Boulahssass R, Gonfrier S, Ferrero J-M, et al. Predicting early death in older adults with cancer. </w:t>
      </w:r>
      <w:r w:rsidRPr="000E1167">
        <w:rPr>
          <w:rFonts w:ascii="Verdana" w:hAnsi="Verdana"/>
          <w:i/>
          <w:iCs/>
          <w:noProof/>
          <w:sz w:val="20"/>
          <w:szCs w:val="20"/>
        </w:rPr>
        <w:t>Eur J Cancer</w:t>
      </w:r>
      <w:r w:rsidRPr="000E1167">
        <w:rPr>
          <w:rFonts w:ascii="Verdana" w:hAnsi="Verdana"/>
          <w:noProof/>
          <w:sz w:val="20"/>
          <w:szCs w:val="20"/>
        </w:rPr>
        <w:t>. 2018;100:65-74.</w:t>
      </w:r>
    </w:p>
    <w:p w14:paraId="654C823A"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38. </w:t>
      </w:r>
      <w:r w:rsidRPr="000E1167">
        <w:rPr>
          <w:rFonts w:ascii="Verdana" w:hAnsi="Verdana"/>
          <w:noProof/>
          <w:sz w:val="20"/>
          <w:szCs w:val="20"/>
        </w:rPr>
        <w:tab/>
        <w:t xml:space="preserve">Schroyen S, Adam S, Jerusalem G, Missotten P. Ageism and its clinical impact in oncogeriatry: state of knowledge and therapeutic leads. </w:t>
      </w:r>
      <w:r w:rsidRPr="000E1167">
        <w:rPr>
          <w:rFonts w:ascii="Verdana" w:hAnsi="Verdana"/>
          <w:i/>
          <w:iCs/>
          <w:noProof/>
          <w:sz w:val="20"/>
          <w:szCs w:val="20"/>
        </w:rPr>
        <w:t>Clin Interv Aging</w:t>
      </w:r>
      <w:r w:rsidRPr="000E1167">
        <w:rPr>
          <w:rFonts w:ascii="Verdana" w:hAnsi="Verdana"/>
          <w:noProof/>
          <w:sz w:val="20"/>
          <w:szCs w:val="20"/>
        </w:rPr>
        <w:t>. 2015;10:117.</w:t>
      </w:r>
    </w:p>
    <w:p w14:paraId="432CD89E"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39. </w:t>
      </w:r>
      <w:r w:rsidRPr="000E1167">
        <w:rPr>
          <w:rFonts w:ascii="Verdana" w:hAnsi="Verdana"/>
          <w:noProof/>
          <w:sz w:val="20"/>
          <w:szCs w:val="20"/>
        </w:rPr>
        <w:tab/>
        <w:t xml:space="preserve">Noordman J, Driesenaar JA, Henselmans I, Verboom J, Heijmans M, van Dulmen S. Patient participation during oncological encounters: Barriers and need for supportive interventions experienced by elderly cancer patients. </w:t>
      </w:r>
      <w:r w:rsidRPr="000E1167">
        <w:rPr>
          <w:rFonts w:ascii="Verdana" w:hAnsi="Verdana"/>
          <w:i/>
          <w:iCs/>
          <w:noProof/>
          <w:sz w:val="20"/>
          <w:szCs w:val="20"/>
        </w:rPr>
        <w:t>Patient Educ Couns</w:t>
      </w:r>
      <w:r w:rsidRPr="000E1167">
        <w:rPr>
          <w:rFonts w:ascii="Verdana" w:hAnsi="Verdana"/>
          <w:noProof/>
          <w:sz w:val="20"/>
          <w:szCs w:val="20"/>
        </w:rPr>
        <w:t>. 2017;100(12):2262-2268.</w:t>
      </w:r>
    </w:p>
    <w:p w14:paraId="2A7EEE4E"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40. </w:t>
      </w:r>
      <w:r w:rsidRPr="000E1167">
        <w:rPr>
          <w:rFonts w:ascii="Verdana" w:hAnsi="Verdana"/>
          <w:noProof/>
          <w:sz w:val="20"/>
          <w:szCs w:val="20"/>
        </w:rPr>
        <w:tab/>
        <w:t>Strohschein F. Submitting to the momentum of care: Treatment decision making among older people with colorectal cancer [Doctoral Thesis]. Montreal, Canada: McGill University. 2019.</w:t>
      </w:r>
    </w:p>
    <w:p w14:paraId="6288F60F"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41. </w:t>
      </w:r>
      <w:r w:rsidRPr="000E1167">
        <w:rPr>
          <w:rFonts w:ascii="Verdana" w:hAnsi="Verdana"/>
          <w:noProof/>
          <w:sz w:val="20"/>
          <w:szCs w:val="20"/>
        </w:rPr>
        <w:tab/>
        <w:t xml:space="preserve">Puts MTE, Papoutsis A, Springall E, Tourangeau AE. A systematic review of unmet needs of newly diagnosed older cancer patients undergoing active cancer treatment. </w:t>
      </w:r>
      <w:r w:rsidRPr="000E1167">
        <w:rPr>
          <w:rFonts w:ascii="Verdana" w:hAnsi="Verdana"/>
          <w:i/>
          <w:iCs/>
          <w:noProof/>
          <w:sz w:val="20"/>
          <w:szCs w:val="20"/>
        </w:rPr>
        <w:t>Support Care Cancer</w:t>
      </w:r>
      <w:r w:rsidRPr="000E1167">
        <w:rPr>
          <w:rFonts w:ascii="Verdana" w:hAnsi="Verdana"/>
          <w:noProof/>
          <w:sz w:val="20"/>
          <w:szCs w:val="20"/>
        </w:rPr>
        <w:t>. 2012;20(7):1377-1394.</w:t>
      </w:r>
    </w:p>
    <w:p w14:paraId="3B54817B"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42. </w:t>
      </w:r>
      <w:r w:rsidRPr="000E1167">
        <w:rPr>
          <w:rFonts w:ascii="Verdana" w:hAnsi="Verdana"/>
          <w:noProof/>
          <w:sz w:val="20"/>
          <w:szCs w:val="20"/>
        </w:rPr>
        <w:tab/>
        <w:t xml:space="preserve">Mislang AR, Di Donato S, Hubbard J, et al. Nutritional management of older adults with gastrointestinal cancers: An International Society of Geriatric Oncology (SIOG) review paper. </w:t>
      </w:r>
      <w:r w:rsidRPr="000E1167">
        <w:rPr>
          <w:rFonts w:ascii="Verdana" w:hAnsi="Verdana"/>
          <w:i/>
          <w:iCs/>
          <w:noProof/>
          <w:sz w:val="20"/>
          <w:szCs w:val="20"/>
        </w:rPr>
        <w:t>J Geriatr Oncol</w:t>
      </w:r>
      <w:r w:rsidRPr="000E1167">
        <w:rPr>
          <w:rFonts w:ascii="Verdana" w:hAnsi="Verdana"/>
          <w:noProof/>
          <w:sz w:val="20"/>
          <w:szCs w:val="20"/>
        </w:rPr>
        <w:t>. 2018.</w:t>
      </w:r>
    </w:p>
    <w:p w14:paraId="33F811F8"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43. </w:t>
      </w:r>
      <w:r w:rsidRPr="000E1167">
        <w:rPr>
          <w:rFonts w:ascii="Verdana" w:hAnsi="Verdana"/>
          <w:noProof/>
          <w:sz w:val="20"/>
          <w:szCs w:val="20"/>
        </w:rPr>
        <w:tab/>
        <w:t xml:space="preserve">Arends J, Bachmann P, Baracos V, et al. ESPEN guidelines on nutrition in cancer patients. </w:t>
      </w:r>
      <w:r w:rsidRPr="000E1167">
        <w:rPr>
          <w:rFonts w:ascii="Verdana" w:hAnsi="Verdana"/>
          <w:i/>
          <w:iCs/>
          <w:noProof/>
          <w:sz w:val="20"/>
          <w:szCs w:val="20"/>
        </w:rPr>
        <w:t>Clin Nutr</w:t>
      </w:r>
      <w:r w:rsidRPr="000E1167">
        <w:rPr>
          <w:rFonts w:ascii="Verdana" w:hAnsi="Verdana"/>
          <w:noProof/>
          <w:sz w:val="20"/>
          <w:szCs w:val="20"/>
        </w:rPr>
        <w:t>. 2017;36(1):11-48.</w:t>
      </w:r>
    </w:p>
    <w:p w14:paraId="4ED6191B"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lang w:val="fr-CA"/>
        </w:rPr>
      </w:pPr>
      <w:r w:rsidRPr="000E1167">
        <w:rPr>
          <w:rFonts w:ascii="Verdana" w:hAnsi="Verdana"/>
          <w:noProof/>
          <w:sz w:val="20"/>
          <w:szCs w:val="20"/>
        </w:rPr>
        <w:t xml:space="preserve">44. </w:t>
      </w:r>
      <w:r w:rsidRPr="000E1167">
        <w:rPr>
          <w:rFonts w:ascii="Verdana" w:hAnsi="Verdana"/>
          <w:noProof/>
          <w:sz w:val="20"/>
          <w:szCs w:val="20"/>
        </w:rPr>
        <w:tab/>
        <w:t xml:space="preserve">Power L, Mullally D, Gibney ER, et al. A review of the validity of malnutrition screening tools used in older adults in community and healthcare settings–A MaNuEL study. </w:t>
      </w:r>
      <w:r w:rsidRPr="000E1167">
        <w:rPr>
          <w:rFonts w:ascii="Verdana" w:hAnsi="Verdana"/>
          <w:i/>
          <w:iCs/>
          <w:noProof/>
          <w:sz w:val="20"/>
          <w:szCs w:val="20"/>
          <w:lang w:val="fr-CA"/>
        </w:rPr>
        <w:t>Clin Nutr ESPEN</w:t>
      </w:r>
      <w:r w:rsidRPr="000E1167">
        <w:rPr>
          <w:rFonts w:ascii="Verdana" w:hAnsi="Verdana"/>
          <w:noProof/>
          <w:sz w:val="20"/>
          <w:szCs w:val="20"/>
          <w:lang w:val="fr-CA"/>
        </w:rPr>
        <w:t>. 2018;24:1-13.</w:t>
      </w:r>
    </w:p>
    <w:p w14:paraId="068DFBA0"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lang w:val="fr-CA"/>
        </w:rPr>
        <w:t xml:space="preserve">45. </w:t>
      </w:r>
      <w:r w:rsidRPr="000E1167">
        <w:rPr>
          <w:rFonts w:ascii="Verdana" w:hAnsi="Verdana"/>
          <w:noProof/>
          <w:sz w:val="20"/>
          <w:szCs w:val="20"/>
          <w:lang w:val="fr-CA"/>
        </w:rPr>
        <w:tab/>
        <w:t xml:space="preserve">Cederholm T, Jensen GL, Correia MITD, et al. </w:t>
      </w:r>
      <w:r w:rsidRPr="000E1167">
        <w:rPr>
          <w:rFonts w:ascii="Verdana" w:hAnsi="Verdana"/>
          <w:noProof/>
          <w:sz w:val="20"/>
          <w:szCs w:val="20"/>
        </w:rPr>
        <w:t xml:space="preserve">GLIM criteria for the diagnosis of malnutrition–A consensus report from the global clinical nutrition community. </w:t>
      </w:r>
      <w:r w:rsidRPr="000E1167">
        <w:rPr>
          <w:rFonts w:ascii="Verdana" w:hAnsi="Verdana"/>
          <w:i/>
          <w:iCs/>
          <w:noProof/>
          <w:sz w:val="20"/>
          <w:szCs w:val="20"/>
        </w:rPr>
        <w:t>J Cachexia Sarcopenia Muscle</w:t>
      </w:r>
      <w:r w:rsidRPr="000E1167">
        <w:rPr>
          <w:rFonts w:ascii="Verdana" w:hAnsi="Verdana"/>
          <w:noProof/>
          <w:sz w:val="20"/>
          <w:szCs w:val="20"/>
        </w:rPr>
        <w:t>. 2019;10(1):207-217.</w:t>
      </w:r>
    </w:p>
    <w:p w14:paraId="0FFAE24C" w14:textId="77777777" w:rsidR="000E1167" w:rsidRPr="000E1167" w:rsidRDefault="000E1167" w:rsidP="000E1167">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46. </w:t>
      </w:r>
      <w:r w:rsidRPr="000E1167">
        <w:rPr>
          <w:rFonts w:ascii="Verdana" w:hAnsi="Verdana"/>
          <w:noProof/>
          <w:sz w:val="20"/>
          <w:szCs w:val="20"/>
        </w:rPr>
        <w:tab/>
        <w:t>Extermann M, Boler I, Reich RR, et al. Predicting the risk of chemotherapy toxicity in older patients: The Chemotherapy Risk Assessment Scale for High</w:t>
      </w:r>
      <w:r w:rsidRPr="000E1167">
        <w:rPr>
          <w:rFonts w:ascii="Cambria Math" w:hAnsi="Cambria Math" w:cs="Cambria Math"/>
          <w:noProof/>
          <w:sz w:val="20"/>
          <w:szCs w:val="20"/>
        </w:rPr>
        <w:t>‐</w:t>
      </w:r>
      <w:r w:rsidRPr="000E1167">
        <w:rPr>
          <w:rFonts w:ascii="Verdana" w:hAnsi="Verdana"/>
          <w:noProof/>
          <w:sz w:val="20"/>
          <w:szCs w:val="20"/>
        </w:rPr>
        <w:t xml:space="preserve">Age Patients (CRASH) score. </w:t>
      </w:r>
      <w:r w:rsidRPr="000E1167">
        <w:rPr>
          <w:rFonts w:ascii="Verdana" w:hAnsi="Verdana"/>
          <w:i/>
          <w:iCs/>
          <w:noProof/>
          <w:sz w:val="20"/>
          <w:szCs w:val="20"/>
        </w:rPr>
        <w:t>Cancer</w:t>
      </w:r>
      <w:r w:rsidRPr="000E1167">
        <w:rPr>
          <w:rFonts w:ascii="Verdana" w:hAnsi="Verdana"/>
          <w:noProof/>
          <w:sz w:val="20"/>
          <w:szCs w:val="20"/>
        </w:rPr>
        <w:t>. 2012;118(13):3377-3386.</w:t>
      </w:r>
    </w:p>
    <w:p w14:paraId="6C76E37A" w14:textId="3795DBD7" w:rsidR="000E1167" w:rsidRPr="000E1167" w:rsidRDefault="000E1167" w:rsidP="008D2878">
      <w:pPr>
        <w:widowControl w:val="0"/>
        <w:autoSpaceDE w:val="0"/>
        <w:autoSpaceDN w:val="0"/>
        <w:adjustRightInd w:val="0"/>
        <w:spacing w:line="240" w:lineRule="auto"/>
        <w:ind w:left="640" w:hanging="640"/>
        <w:rPr>
          <w:rFonts w:ascii="Verdana" w:hAnsi="Verdana"/>
          <w:noProof/>
          <w:sz w:val="20"/>
          <w:szCs w:val="20"/>
        </w:rPr>
      </w:pPr>
      <w:r w:rsidRPr="000E1167">
        <w:rPr>
          <w:rFonts w:ascii="Verdana" w:hAnsi="Verdana"/>
          <w:noProof/>
          <w:sz w:val="20"/>
          <w:szCs w:val="20"/>
        </w:rPr>
        <w:t xml:space="preserve">47. </w:t>
      </w:r>
      <w:r w:rsidRPr="000E1167">
        <w:rPr>
          <w:rFonts w:ascii="Verdana" w:hAnsi="Verdana"/>
          <w:noProof/>
          <w:sz w:val="20"/>
          <w:szCs w:val="20"/>
        </w:rPr>
        <w:tab/>
        <w:t xml:space="preserve">Middelburg JG, Mast ME, de Kroon M, et al. Timed get up and go test and geriatric 8 scores and the association with (chemo-) radiation therapy noncompliance and acute toxicity in elderly cancer patients. </w:t>
      </w:r>
      <w:r w:rsidRPr="000E1167">
        <w:rPr>
          <w:rFonts w:ascii="Verdana" w:hAnsi="Verdana"/>
          <w:i/>
          <w:iCs/>
          <w:noProof/>
          <w:sz w:val="20"/>
          <w:szCs w:val="20"/>
        </w:rPr>
        <w:t>Int J Radiat Oncol Biol Phys</w:t>
      </w:r>
      <w:r w:rsidRPr="000E1167">
        <w:rPr>
          <w:rFonts w:ascii="Verdana" w:hAnsi="Verdana"/>
          <w:noProof/>
          <w:sz w:val="20"/>
          <w:szCs w:val="20"/>
        </w:rPr>
        <w:t>. 2017;98(4):843-849.</w:t>
      </w:r>
    </w:p>
    <w:p w14:paraId="2801AA05" w14:textId="77777777" w:rsidR="000E1167" w:rsidRDefault="000E1167" w:rsidP="000E1167">
      <w:pPr>
        <w:pStyle w:val="Pa9"/>
        <w:spacing w:line="240" w:lineRule="auto"/>
        <w:ind w:right="-720"/>
        <w:rPr>
          <w:rFonts w:ascii="Verdana" w:hAnsi="Verdana" w:cs="Univers 55"/>
          <w:b/>
          <w:color w:val="C00000"/>
          <w:sz w:val="20"/>
          <w:szCs w:val="20"/>
        </w:rPr>
      </w:pPr>
      <w:r w:rsidRPr="000E1167">
        <w:rPr>
          <w:rFonts w:ascii="Verdana" w:eastAsia="Calibri" w:hAnsi="Verdana"/>
          <w:sz w:val="20"/>
          <w:szCs w:val="20"/>
        </w:rPr>
        <w:fldChar w:fldCharType="end"/>
      </w:r>
    </w:p>
    <w:p w14:paraId="62E44E77" w14:textId="77777777" w:rsidR="000E1167" w:rsidRDefault="000E1167" w:rsidP="00D42F9C">
      <w:pPr>
        <w:pStyle w:val="Pa9"/>
        <w:spacing w:line="240" w:lineRule="auto"/>
        <w:ind w:right="-720"/>
        <w:rPr>
          <w:rFonts w:ascii="Verdana" w:hAnsi="Verdana" w:cs="Univers 55"/>
          <w:b/>
          <w:color w:val="C00000"/>
          <w:sz w:val="20"/>
          <w:szCs w:val="20"/>
        </w:rPr>
      </w:pPr>
    </w:p>
    <w:p w14:paraId="6BA32476" w14:textId="77777777" w:rsidR="000E1167" w:rsidRDefault="000E1167" w:rsidP="00D42F9C">
      <w:pPr>
        <w:pStyle w:val="Pa9"/>
        <w:spacing w:line="240" w:lineRule="auto"/>
        <w:ind w:right="-720"/>
        <w:rPr>
          <w:rFonts w:ascii="Verdana" w:hAnsi="Verdana" w:cs="Univers 55"/>
          <w:b/>
          <w:color w:val="C00000"/>
          <w:sz w:val="20"/>
          <w:szCs w:val="20"/>
        </w:rPr>
      </w:pPr>
    </w:p>
    <w:p w14:paraId="6CBABF05" w14:textId="77777777" w:rsidR="000E1167" w:rsidRDefault="000E1167" w:rsidP="00D42F9C">
      <w:pPr>
        <w:pStyle w:val="Pa9"/>
        <w:spacing w:line="240" w:lineRule="auto"/>
        <w:ind w:right="-720"/>
        <w:rPr>
          <w:rFonts w:ascii="Verdana" w:hAnsi="Verdana" w:cs="Univers 55"/>
          <w:b/>
          <w:color w:val="C00000"/>
          <w:sz w:val="20"/>
          <w:szCs w:val="20"/>
        </w:rPr>
      </w:pPr>
    </w:p>
    <w:sectPr w:rsidR="000E1167" w:rsidSect="0032415C">
      <w:headerReference w:type="default" r:id="rId30"/>
      <w:footerReference w:type="default" r:id="rId31"/>
      <w:pgSz w:w="12240" w:h="15840"/>
      <w:pgMar w:top="1094" w:right="616" w:bottom="1440" w:left="426" w:header="284" w:footer="306" w:gutter="0"/>
      <w:cols w:space="25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D390E" w14:textId="77777777" w:rsidR="000735EF" w:rsidRDefault="000735EF" w:rsidP="00DB6A43">
      <w:pPr>
        <w:spacing w:after="0" w:line="240" w:lineRule="auto"/>
      </w:pPr>
      <w:r>
        <w:separator/>
      </w:r>
    </w:p>
  </w:endnote>
  <w:endnote w:type="continuationSeparator" w:id="0">
    <w:p w14:paraId="1A1B36A1" w14:textId="77777777" w:rsidR="000735EF" w:rsidRDefault="000735EF" w:rsidP="00DB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Univers 55">
    <w:altName w:val="Univers 55"/>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B525" w14:textId="77777777" w:rsidR="00C117A8" w:rsidRDefault="00C117A8">
    <w:pPr>
      <w:pStyle w:val="Footer"/>
    </w:pPr>
    <w:r w:rsidRPr="00E45A42">
      <w:rPr>
        <w:rFonts w:ascii="Georgia" w:hAnsi="Georgia" w:cs="Minion"/>
        <w:noProof/>
        <w:color w:val="3D434E"/>
        <w:sz w:val="20"/>
        <w:szCs w:val="20"/>
        <w:lang w:val="en-CA" w:eastAsia="en-CA"/>
      </w:rPr>
      <mc:AlternateContent>
        <mc:Choice Requires="wps">
          <w:drawing>
            <wp:anchor distT="0" distB="0" distL="114300" distR="114300" simplePos="0" relativeHeight="251659264" behindDoc="0" locked="0" layoutInCell="1" allowOverlap="1" wp14:anchorId="0D294203" wp14:editId="02D6327A">
              <wp:simplePos x="0" y="0"/>
              <wp:positionH relativeFrom="column">
                <wp:posOffset>-811530</wp:posOffset>
              </wp:positionH>
              <wp:positionV relativeFrom="paragraph">
                <wp:posOffset>133350</wp:posOffset>
              </wp:positionV>
              <wp:extent cx="5795010" cy="8070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807085"/>
                      </a:xfrm>
                      <a:prstGeom prst="rect">
                        <a:avLst/>
                      </a:prstGeom>
                      <a:noFill/>
                      <a:ln w="9525">
                        <a:noFill/>
                        <a:miter lim="800000"/>
                        <a:headEnd/>
                        <a:tailEnd/>
                      </a:ln>
                    </wps:spPr>
                    <wps:txbx>
                      <w:txbxContent>
                        <w:p w14:paraId="20D76B63" w14:textId="77777777" w:rsidR="00C117A8" w:rsidRPr="00C56A06" w:rsidRDefault="00C117A8" w:rsidP="00A97B45">
                          <w:pPr>
                            <w:pStyle w:val="Footer"/>
                            <w:pBdr>
                              <w:top w:val="single" w:sz="12" w:space="1" w:color="A80401"/>
                            </w:pBdr>
                            <w:tabs>
                              <w:tab w:val="clear" w:pos="4680"/>
                              <w:tab w:val="clear" w:pos="9360"/>
                              <w:tab w:val="left" w:pos="7290"/>
                            </w:tabs>
                            <w:spacing w:line="276" w:lineRule="auto"/>
                            <w:ind w:left="720" w:right="452"/>
                            <w:rPr>
                              <w:rFonts w:ascii="Calibri Light" w:hAnsi="Calibri Light"/>
                              <w:color w:val="A80401"/>
                              <w:sz w:val="24"/>
                            </w:rPr>
                          </w:pPr>
                          <w:r w:rsidRPr="0032415C">
                            <w:rPr>
                              <w:rFonts w:ascii="Calibri Light" w:hAnsi="Calibri Light"/>
                              <w:b/>
                              <w:color w:val="C00000"/>
                              <w:spacing w:val="20"/>
                              <w:sz w:val="24"/>
                            </w:rPr>
                            <w:t>CGS JOURNAL OF CME |</w:t>
                          </w:r>
                          <w:r w:rsidRPr="0032415C">
                            <w:rPr>
                              <w:rFonts w:ascii="Calibri Light" w:hAnsi="Calibri Light"/>
                              <w:b/>
                              <w:color w:val="C00000"/>
                              <w:sz w:val="24"/>
                            </w:rPr>
                            <w:t xml:space="preserve"> </w:t>
                          </w:r>
                          <w:r>
                            <w:rPr>
                              <w:rFonts w:ascii="Calibri Light" w:hAnsi="Calibri Light"/>
                              <w:color w:val="404040" w:themeColor="text1" w:themeTint="BF"/>
                              <w:sz w:val="24"/>
                            </w:rPr>
                            <w:t>VOLUME 10, ISSUE 1, 2020</w:t>
                          </w:r>
                        </w:p>
                        <w:p w14:paraId="033F82E5" w14:textId="77777777" w:rsidR="00C117A8" w:rsidRDefault="00C117A8" w:rsidP="00A97B45">
                          <w:pPr>
                            <w:tabs>
                              <w:tab w:val="left" w:pos="7290"/>
                            </w:tabs>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94203" id="_x0000_t202" coordsize="21600,21600" o:spt="202" path="m,l,21600r21600,l21600,xe">
              <v:stroke joinstyle="miter"/>
              <v:path gradientshapeok="t" o:connecttype="rect"/>
            </v:shapetype>
            <v:shape id="_x0000_s1030" type="#_x0000_t202" style="position:absolute;margin-left:-63.9pt;margin-top:10.5pt;width:456.3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" filled="f" stroked="f">
              <v:textbox>
                <w:txbxContent>
                  <w:p w14:paraId="20D76B63" w14:textId="77777777" w:rsidR="00C117A8" w:rsidRPr="00C56A06" w:rsidRDefault="00C117A8" w:rsidP="00A97B45">
                    <w:pPr>
                      <w:pStyle w:val="Footer"/>
                      <w:pBdr>
                        <w:top w:val="single" w:sz="12" w:space="1" w:color="A80401"/>
                      </w:pBdr>
                      <w:tabs>
                        <w:tab w:val="clear" w:pos="4680"/>
                        <w:tab w:val="clear" w:pos="9360"/>
                        <w:tab w:val="left" w:pos="7290"/>
                      </w:tabs>
                      <w:spacing w:line="276" w:lineRule="auto"/>
                      <w:ind w:left="720" w:right="452"/>
                      <w:rPr>
                        <w:rFonts w:ascii="Calibri Light" w:hAnsi="Calibri Light"/>
                        <w:color w:val="A80401"/>
                        <w:sz w:val="24"/>
                      </w:rPr>
                    </w:pPr>
                    <w:r w:rsidRPr="0032415C">
                      <w:rPr>
                        <w:rFonts w:ascii="Calibri Light" w:hAnsi="Calibri Light"/>
                        <w:b/>
                        <w:color w:val="C00000"/>
                        <w:spacing w:val="20"/>
                        <w:sz w:val="24"/>
                      </w:rPr>
                      <w:t>CGS JOURNAL OF CME |</w:t>
                    </w:r>
                    <w:r w:rsidRPr="0032415C">
                      <w:rPr>
                        <w:rFonts w:ascii="Calibri Light" w:hAnsi="Calibri Light"/>
                        <w:b/>
                        <w:color w:val="C00000"/>
                        <w:sz w:val="24"/>
                      </w:rPr>
                      <w:t xml:space="preserve"> </w:t>
                    </w:r>
                    <w:r>
                      <w:rPr>
                        <w:rFonts w:ascii="Calibri Light" w:hAnsi="Calibri Light"/>
                        <w:color w:val="404040" w:themeColor="text1" w:themeTint="BF"/>
                        <w:sz w:val="24"/>
                      </w:rPr>
                      <w:t>VOLUME 10, ISSUE 1, 2020</w:t>
                    </w:r>
                  </w:p>
                  <w:p w14:paraId="033F82E5" w14:textId="77777777" w:rsidR="00C117A8" w:rsidRDefault="00C117A8" w:rsidP="00A97B45">
                    <w:pPr>
                      <w:tabs>
                        <w:tab w:val="left" w:pos="7290"/>
                      </w:tabs>
                      <w:ind w:left="72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2F7A" w14:textId="77777777" w:rsidR="00C117A8" w:rsidRPr="00C56A06" w:rsidRDefault="00C117A8" w:rsidP="00D42F9C">
    <w:pPr>
      <w:pStyle w:val="Footer"/>
      <w:pBdr>
        <w:top w:val="single" w:sz="12" w:space="1" w:color="A80401"/>
      </w:pBdr>
      <w:tabs>
        <w:tab w:val="clear" w:pos="4680"/>
        <w:tab w:val="clear" w:pos="9360"/>
      </w:tabs>
      <w:spacing w:line="276" w:lineRule="auto"/>
      <w:rPr>
        <w:rFonts w:ascii="Calibri Light" w:hAnsi="Calibri Light"/>
        <w:color w:val="A80401"/>
        <w:sz w:val="24"/>
      </w:rPr>
    </w:pPr>
    <w:r w:rsidRPr="00BC5C00">
      <w:rPr>
        <w:rFonts w:ascii="Calibri Light" w:hAnsi="Calibri Light"/>
        <w:b/>
        <w:color w:val="C00000"/>
        <w:sz w:val="24"/>
      </w:rPr>
      <w:t xml:space="preserve">CGS JOURNAL OF CME | </w:t>
    </w:r>
    <w:r>
      <w:rPr>
        <w:rFonts w:ascii="Calibri Light" w:hAnsi="Calibri Light"/>
        <w:color w:val="404040" w:themeColor="text1" w:themeTint="BF"/>
        <w:sz w:val="24"/>
      </w:rPr>
      <w:t>VOLUME 10, ISSUE 1, 2020</w:t>
    </w:r>
  </w:p>
  <w:p w14:paraId="70EE0D72" w14:textId="77777777" w:rsidR="00C117A8" w:rsidRDefault="00C117A8" w:rsidP="003241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87F2F" w14:textId="77777777" w:rsidR="000735EF" w:rsidRDefault="000735EF" w:rsidP="00DB6A43">
      <w:pPr>
        <w:spacing w:after="0" w:line="240" w:lineRule="auto"/>
      </w:pPr>
      <w:r>
        <w:separator/>
      </w:r>
    </w:p>
  </w:footnote>
  <w:footnote w:type="continuationSeparator" w:id="0">
    <w:p w14:paraId="766A2B68" w14:textId="77777777" w:rsidR="000735EF" w:rsidRDefault="000735EF" w:rsidP="00DB6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853A" w14:textId="77777777" w:rsidR="00C117A8" w:rsidRDefault="00C117A8" w:rsidP="00A97B45">
    <w:pPr>
      <w:pStyle w:val="Header"/>
      <w:ind w:left="45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DBEB" w14:textId="77777777" w:rsidR="00C117A8" w:rsidRPr="00CB19BF" w:rsidRDefault="000C08AE" w:rsidP="00D42F9C">
    <w:pPr>
      <w:pStyle w:val="Header"/>
      <w:pBdr>
        <w:bottom w:val="single" w:sz="12" w:space="1" w:color="404040" w:themeColor="text1" w:themeTint="BF"/>
      </w:pBdr>
      <w:spacing w:line="276" w:lineRule="auto"/>
      <w:ind w:right="-180"/>
      <w:rPr>
        <w:rFonts w:ascii="Calibri Light" w:hAnsi="Calibri Light"/>
        <w:sz w:val="23"/>
        <w:szCs w:val="23"/>
      </w:rPr>
    </w:pPr>
    <w:r>
      <w:rPr>
        <w:rFonts w:ascii="Calibri Light" w:hAnsi="Calibri Light"/>
        <w:color w:val="C00000"/>
        <w:sz w:val="23"/>
        <w:szCs w:val="23"/>
      </w:rPr>
      <w:t>CHESNEY, ALQURINI, BATRA, DAWE, DEANGELIS, ROSENBERG, STROHSCHEIN, SZUMACHER, YOKUM, PUTS, ALIBHAI, HSU</w:t>
    </w:r>
    <w:r w:rsidR="00C117A8" w:rsidRPr="00CB19BF">
      <w:rPr>
        <w:rFonts w:ascii="Calibri" w:hAnsi="Calibri"/>
        <w:b/>
        <w:color w:val="404040" w:themeColor="text1" w:themeTint="BF"/>
        <w:sz w:val="23"/>
        <w:szCs w:val="23"/>
      </w:rPr>
      <w:t>|</w:t>
    </w:r>
    <w:r w:rsidR="00C117A8" w:rsidRPr="00CB19BF">
      <w:rPr>
        <w:rFonts w:ascii="Calibri" w:hAnsi="Calibri"/>
        <w:color w:val="404040" w:themeColor="text1" w:themeTint="BF"/>
        <w:sz w:val="23"/>
        <w:szCs w:val="23"/>
      </w:rPr>
      <w:t xml:space="preserve"> </w:t>
    </w:r>
    <w:r w:rsidR="00C117A8">
      <w:rPr>
        <w:rFonts w:ascii="Calibri" w:hAnsi="Calibri"/>
        <w:b/>
        <w:color w:val="404040" w:themeColor="text1" w:themeTint="BF"/>
        <w:sz w:val="23"/>
        <w:szCs w:val="23"/>
      </w:rPr>
      <w:t>ADVANCING THE CARE OF OLDER ADULTS WITH CANCER IN CANADA: A REPORT OF THE FIRST CANADIAN GERIATRIC ONCOLOGY CONFERENCE</w:t>
    </w:r>
    <w:r w:rsidR="00C117A8">
      <w:rPr>
        <w:rFonts w:ascii="Calibri" w:hAnsi="Calibri"/>
        <w:b/>
        <w:color w:val="404040" w:themeColor="text1" w:themeTint="BF"/>
        <w:sz w:val="23"/>
        <w:szCs w:val="23"/>
      </w:rPr>
      <w:tab/>
    </w:r>
  </w:p>
  <w:p w14:paraId="4B499A97" w14:textId="77777777" w:rsidR="00C117A8" w:rsidRDefault="00C117A8" w:rsidP="00A97B45">
    <w:pPr>
      <w:pStyle w:val="Header"/>
      <w:ind w:left="45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FD4"/>
    <w:multiLevelType w:val="hybridMultilevel"/>
    <w:tmpl w:val="E9DE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7B66"/>
    <w:multiLevelType w:val="hybridMultilevel"/>
    <w:tmpl w:val="B6BCC2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815F95"/>
    <w:multiLevelType w:val="hybridMultilevel"/>
    <w:tmpl w:val="610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5336"/>
    <w:multiLevelType w:val="hybridMultilevel"/>
    <w:tmpl w:val="04EC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03ED1"/>
    <w:multiLevelType w:val="hybridMultilevel"/>
    <w:tmpl w:val="3016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132B1"/>
    <w:multiLevelType w:val="hybridMultilevel"/>
    <w:tmpl w:val="B896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434DD"/>
    <w:multiLevelType w:val="hybridMultilevel"/>
    <w:tmpl w:val="78C2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546E1"/>
    <w:multiLevelType w:val="hybridMultilevel"/>
    <w:tmpl w:val="B502A444"/>
    <w:lvl w:ilvl="0" w:tplc="1009000F">
      <w:start w:val="1"/>
      <w:numFmt w:val="decimal"/>
      <w:lvlText w:val="%1."/>
      <w:lvlJc w:val="left"/>
      <w:pPr>
        <w:ind w:left="578" w:hanging="360"/>
      </w:p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8" w15:restartNumberingAfterBreak="0">
    <w:nsid w:val="38FB2BE3"/>
    <w:multiLevelType w:val="hybridMultilevel"/>
    <w:tmpl w:val="B4A8478E"/>
    <w:lvl w:ilvl="0" w:tplc="6BCC05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5732E"/>
    <w:multiLevelType w:val="hybridMultilevel"/>
    <w:tmpl w:val="D49C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9057E"/>
    <w:multiLevelType w:val="hybridMultilevel"/>
    <w:tmpl w:val="F808E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B5E9B"/>
    <w:multiLevelType w:val="hybridMultilevel"/>
    <w:tmpl w:val="49B89F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AD34F4"/>
    <w:multiLevelType w:val="hybridMultilevel"/>
    <w:tmpl w:val="4EE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4"/>
  </w:num>
  <w:num w:numId="6">
    <w:abstractNumId w:val="0"/>
  </w:num>
  <w:num w:numId="7">
    <w:abstractNumId w:val="10"/>
  </w:num>
  <w:num w:numId="8">
    <w:abstractNumId w:val="9"/>
  </w:num>
  <w:num w:numId="9">
    <w:abstractNumId w:val="5"/>
  </w:num>
  <w:num w:numId="10">
    <w:abstractNumId w:val="2"/>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61"/>
    <w:rsid w:val="0001180F"/>
    <w:rsid w:val="000152E4"/>
    <w:rsid w:val="000315E8"/>
    <w:rsid w:val="000735EF"/>
    <w:rsid w:val="000901B7"/>
    <w:rsid w:val="000C08AE"/>
    <w:rsid w:val="000C51AC"/>
    <w:rsid w:val="000C6272"/>
    <w:rsid w:val="000D1669"/>
    <w:rsid w:val="000D59B5"/>
    <w:rsid w:val="000E1167"/>
    <w:rsid w:val="00127910"/>
    <w:rsid w:val="00132B6A"/>
    <w:rsid w:val="001334DD"/>
    <w:rsid w:val="0014043B"/>
    <w:rsid w:val="001636CC"/>
    <w:rsid w:val="001644A2"/>
    <w:rsid w:val="0016462A"/>
    <w:rsid w:val="001663C3"/>
    <w:rsid w:val="00167D83"/>
    <w:rsid w:val="00180484"/>
    <w:rsid w:val="001836EE"/>
    <w:rsid w:val="001A232B"/>
    <w:rsid w:val="001B34F7"/>
    <w:rsid w:val="001B5826"/>
    <w:rsid w:val="001C3921"/>
    <w:rsid w:val="0021771E"/>
    <w:rsid w:val="00226A63"/>
    <w:rsid w:val="00231C48"/>
    <w:rsid w:val="002A6817"/>
    <w:rsid w:val="002A7141"/>
    <w:rsid w:val="002D5E53"/>
    <w:rsid w:val="002E51B2"/>
    <w:rsid w:val="0032415C"/>
    <w:rsid w:val="00331574"/>
    <w:rsid w:val="00337933"/>
    <w:rsid w:val="00354094"/>
    <w:rsid w:val="00384423"/>
    <w:rsid w:val="003864DE"/>
    <w:rsid w:val="003B13EA"/>
    <w:rsid w:val="003F15D0"/>
    <w:rsid w:val="00425ECB"/>
    <w:rsid w:val="004509C9"/>
    <w:rsid w:val="0045331A"/>
    <w:rsid w:val="00454957"/>
    <w:rsid w:val="00484421"/>
    <w:rsid w:val="004E24DC"/>
    <w:rsid w:val="004F619E"/>
    <w:rsid w:val="00500108"/>
    <w:rsid w:val="00514603"/>
    <w:rsid w:val="0054521D"/>
    <w:rsid w:val="00581DBA"/>
    <w:rsid w:val="00582A3E"/>
    <w:rsid w:val="00594C84"/>
    <w:rsid w:val="005C3BC3"/>
    <w:rsid w:val="005E6EC1"/>
    <w:rsid w:val="006743F4"/>
    <w:rsid w:val="006E4ED6"/>
    <w:rsid w:val="00711961"/>
    <w:rsid w:val="0079196F"/>
    <w:rsid w:val="007C6763"/>
    <w:rsid w:val="007E5382"/>
    <w:rsid w:val="007E5779"/>
    <w:rsid w:val="008711A5"/>
    <w:rsid w:val="00873D91"/>
    <w:rsid w:val="00882F54"/>
    <w:rsid w:val="0088423F"/>
    <w:rsid w:val="00885F98"/>
    <w:rsid w:val="008B75C5"/>
    <w:rsid w:val="008D2878"/>
    <w:rsid w:val="00942641"/>
    <w:rsid w:val="00957B05"/>
    <w:rsid w:val="0097777D"/>
    <w:rsid w:val="00981A4B"/>
    <w:rsid w:val="009A2155"/>
    <w:rsid w:val="009B4E80"/>
    <w:rsid w:val="00A54056"/>
    <w:rsid w:val="00A97B45"/>
    <w:rsid w:val="00AA4F5A"/>
    <w:rsid w:val="00AB4745"/>
    <w:rsid w:val="00AD7A70"/>
    <w:rsid w:val="00AE2ED8"/>
    <w:rsid w:val="00B02001"/>
    <w:rsid w:val="00B40A5A"/>
    <w:rsid w:val="00B740DD"/>
    <w:rsid w:val="00B91788"/>
    <w:rsid w:val="00BA190D"/>
    <w:rsid w:val="00BA2486"/>
    <w:rsid w:val="00BC5C00"/>
    <w:rsid w:val="00BF0979"/>
    <w:rsid w:val="00C117A8"/>
    <w:rsid w:val="00C16B8A"/>
    <w:rsid w:val="00C80217"/>
    <w:rsid w:val="00C8679D"/>
    <w:rsid w:val="00CD0DAE"/>
    <w:rsid w:val="00D20C78"/>
    <w:rsid w:val="00D226CB"/>
    <w:rsid w:val="00D364FC"/>
    <w:rsid w:val="00D42F9C"/>
    <w:rsid w:val="00D6133A"/>
    <w:rsid w:val="00D73142"/>
    <w:rsid w:val="00DB43EE"/>
    <w:rsid w:val="00DB6A43"/>
    <w:rsid w:val="00DB7E8B"/>
    <w:rsid w:val="00E110C2"/>
    <w:rsid w:val="00E12B41"/>
    <w:rsid w:val="00E45A42"/>
    <w:rsid w:val="00E5654F"/>
    <w:rsid w:val="00E81764"/>
    <w:rsid w:val="00E977E1"/>
    <w:rsid w:val="00EA3164"/>
    <w:rsid w:val="00F00A8D"/>
    <w:rsid w:val="00F2779D"/>
    <w:rsid w:val="00F34458"/>
    <w:rsid w:val="00F75CD2"/>
    <w:rsid w:val="00FC57D8"/>
    <w:rsid w:val="00FF7F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97B81"/>
  <w15:docId w15:val="{2962D6D7-1124-48EA-BE65-B0ADCCFA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01"/>
    <w:rPr>
      <w:rFonts w:ascii="Tahoma" w:hAnsi="Tahoma" w:cs="Tahoma"/>
      <w:sz w:val="16"/>
      <w:szCs w:val="16"/>
    </w:rPr>
  </w:style>
  <w:style w:type="character" w:styleId="Hyperlink">
    <w:name w:val="Hyperlink"/>
    <w:basedOn w:val="DefaultParagraphFont"/>
    <w:uiPriority w:val="99"/>
    <w:unhideWhenUsed/>
    <w:rsid w:val="00DB6A43"/>
    <w:rPr>
      <w:color w:val="0000FF" w:themeColor="hyperlink"/>
      <w:u w:val="single"/>
    </w:rPr>
  </w:style>
  <w:style w:type="paragraph" w:customStyle="1" w:styleId="Pa8">
    <w:name w:val="Pa8"/>
    <w:basedOn w:val="Normal"/>
    <w:next w:val="Normal"/>
    <w:uiPriority w:val="99"/>
    <w:rsid w:val="00DB6A43"/>
    <w:pPr>
      <w:autoSpaceDE w:val="0"/>
      <w:autoSpaceDN w:val="0"/>
      <w:adjustRightInd w:val="0"/>
      <w:spacing w:after="0" w:line="201" w:lineRule="atLeast"/>
    </w:pPr>
    <w:rPr>
      <w:rFonts w:ascii="Univers 55" w:hAnsi="Univers 55"/>
      <w:sz w:val="24"/>
      <w:szCs w:val="24"/>
    </w:rPr>
  </w:style>
  <w:style w:type="paragraph" w:customStyle="1" w:styleId="Pa9">
    <w:name w:val="Pa9"/>
    <w:basedOn w:val="Normal"/>
    <w:next w:val="Normal"/>
    <w:uiPriority w:val="99"/>
    <w:rsid w:val="00DB6A43"/>
    <w:pPr>
      <w:autoSpaceDE w:val="0"/>
      <w:autoSpaceDN w:val="0"/>
      <w:adjustRightInd w:val="0"/>
      <w:spacing w:after="0" w:line="181" w:lineRule="atLeast"/>
    </w:pPr>
    <w:rPr>
      <w:rFonts w:ascii="Univers 55" w:hAnsi="Univers 55"/>
      <w:sz w:val="24"/>
      <w:szCs w:val="24"/>
    </w:rPr>
  </w:style>
  <w:style w:type="paragraph" w:customStyle="1" w:styleId="Pa16">
    <w:name w:val="Pa16"/>
    <w:basedOn w:val="Normal"/>
    <w:next w:val="Normal"/>
    <w:uiPriority w:val="99"/>
    <w:rsid w:val="00DB6A43"/>
    <w:pPr>
      <w:autoSpaceDE w:val="0"/>
      <w:autoSpaceDN w:val="0"/>
      <w:adjustRightInd w:val="0"/>
      <w:spacing w:after="0" w:line="141" w:lineRule="atLeast"/>
    </w:pPr>
    <w:rPr>
      <w:rFonts w:ascii="Univers 55" w:hAnsi="Univers 55"/>
      <w:sz w:val="24"/>
      <w:szCs w:val="24"/>
    </w:rPr>
  </w:style>
  <w:style w:type="character" w:customStyle="1" w:styleId="A16">
    <w:name w:val="A16"/>
    <w:uiPriority w:val="99"/>
    <w:rsid w:val="00DB6A43"/>
    <w:rPr>
      <w:rFonts w:ascii="Minion" w:hAnsi="Minion" w:cs="Minion"/>
      <w:color w:val="3D434E"/>
      <w:sz w:val="10"/>
      <w:szCs w:val="10"/>
    </w:rPr>
  </w:style>
  <w:style w:type="paragraph" w:styleId="Header">
    <w:name w:val="header"/>
    <w:basedOn w:val="Normal"/>
    <w:link w:val="HeaderChar"/>
    <w:uiPriority w:val="99"/>
    <w:unhideWhenUsed/>
    <w:rsid w:val="00DB6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A43"/>
  </w:style>
  <w:style w:type="paragraph" w:styleId="Footer">
    <w:name w:val="footer"/>
    <w:basedOn w:val="Normal"/>
    <w:link w:val="FooterChar"/>
    <w:uiPriority w:val="99"/>
    <w:unhideWhenUsed/>
    <w:rsid w:val="00DB6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A43"/>
  </w:style>
  <w:style w:type="character" w:styleId="CommentReference">
    <w:name w:val="annotation reference"/>
    <w:basedOn w:val="DefaultParagraphFont"/>
    <w:uiPriority w:val="99"/>
    <w:unhideWhenUsed/>
    <w:rsid w:val="001A232B"/>
    <w:rPr>
      <w:sz w:val="16"/>
      <w:szCs w:val="16"/>
    </w:rPr>
  </w:style>
  <w:style w:type="paragraph" w:styleId="CommentText">
    <w:name w:val="annotation text"/>
    <w:basedOn w:val="Normal"/>
    <w:link w:val="CommentTextChar"/>
    <w:uiPriority w:val="99"/>
    <w:unhideWhenUsed/>
    <w:rsid w:val="001A232B"/>
    <w:pPr>
      <w:spacing w:line="240" w:lineRule="auto"/>
    </w:pPr>
    <w:rPr>
      <w:rFonts w:eastAsiaTheme="minorEastAsia"/>
      <w:sz w:val="20"/>
      <w:szCs w:val="20"/>
      <w:lang w:val="en-CA" w:eastAsia="zh-CN"/>
    </w:rPr>
  </w:style>
  <w:style w:type="character" w:customStyle="1" w:styleId="CommentTextChar">
    <w:name w:val="Comment Text Char"/>
    <w:basedOn w:val="DefaultParagraphFont"/>
    <w:link w:val="CommentText"/>
    <w:uiPriority w:val="99"/>
    <w:rsid w:val="001A232B"/>
    <w:rPr>
      <w:rFonts w:eastAsiaTheme="minorEastAsia"/>
      <w:sz w:val="20"/>
      <w:szCs w:val="20"/>
      <w:lang w:val="en-CA" w:eastAsia="zh-CN"/>
    </w:rPr>
  </w:style>
  <w:style w:type="table" w:styleId="TableGrid">
    <w:name w:val="Table Grid"/>
    <w:basedOn w:val="TableNormal"/>
    <w:uiPriority w:val="59"/>
    <w:rsid w:val="008B75C5"/>
    <w:pPr>
      <w:spacing w:after="0" w:line="240" w:lineRule="auto"/>
    </w:pPr>
    <w:rPr>
      <w:rFonts w:eastAsiaTheme="minorEastAsia"/>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5C5"/>
    <w:pPr>
      <w:ind w:left="720"/>
      <w:contextualSpacing/>
    </w:pPr>
    <w:rPr>
      <w:rFonts w:eastAsiaTheme="minorEastAsia"/>
      <w:lang w:val="en-CA" w:eastAsia="zh-CN"/>
    </w:rPr>
  </w:style>
  <w:style w:type="character" w:styleId="FollowedHyperlink">
    <w:name w:val="FollowedHyperlink"/>
    <w:basedOn w:val="DefaultParagraphFont"/>
    <w:uiPriority w:val="99"/>
    <w:semiHidden/>
    <w:unhideWhenUsed/>
    <w:rsid w:val="00981A4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836EE"/>
    <w:rPr>
      <w:rFonts w:eastAsiaTheme="minorHAnsi"/>
      <w:b/>
      <w:bCs/>
      <w:lang w:val="en-US" w:eastAsia="en-US"/>
    </w:rPr>
  </w:style>
  <w:style w:type="character" w:customStyle="1" w:styleId="CommentSubjectChar">
    <w:name w:val="Comment Subject Char"/>
    <w:basedOn w:val="CommentTextChar"/>
    <w:link w:val="CommentSubject"/>
    <w:uiPriority w:val="99"/>
    <w:semiHidden/>
    <w:rsid w:val="001836EE"/>
    <w:rPr>
      <w:rFonts w:eastAsiaTheme="minorEastAsia"/>
      <w:b/>
      <w:bCs/>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18" Type="http://schemas.openxmlformats.org/officeDocument/2006/relationships/hyperlink" Target="https://riskcalculator.facs.org/RiskCalculator/" TargetMode="External"/><Relationship Id="rId26" Type="http://schemas.openxmlformats.org/officeDocument/2006/relationships/hyperlink" Target="https://moffitt.org/eforms/crashscoreform/" TargetMode="External"/><Relationship Id="rId3" Type="http://schemas.openxmlformats.org/officeDocument/2006/relationships/settings" Target="settings.xml"/><Relationship Id="rId21" Type="http://schemas.openxmlformats.org/officeDocument/2006/relationships/hyperlink" Target="https://www.geriatriconcology.net/article/S1879-4068(18)30067-5/fulltext" TargetMode="External"/><Relationship Id="rId7" Type="http://schemas.openxmlformats.org/officeDocument/2006/relationships/image" Target="media/image1.jpeg"/><Relationship Id="rId12" Type="http://schemas.openxmlformats.org/officeDocument/2006/relationships/hyperlink" Target="https://thecanadiangeriatricssociety.wildapricot.org/membership" TargetMode="External"/><Relationship Id="rId17" Type="http://schemas.openxmlformats.org/officeDocument/2006/relationships/hyperlink" Target="http://www.mycarg.org/Chemo_Toxicity_Calculator" TargetMode="External"/><Relationship Id="rId25" Type="http://schemas.openxmlformats.org/officeDocument/2006/relationships/hyperlink" Target="http://www.mycarg.org/Chemo_Toxicity_Calculato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prognosis.ucsf.edu/leeschonberg.php" TargetMode="External"/><Relationship Id="rId20" Type="http://schemas.openxmlformats.org/officeDocument/2006/relationships/hyperlink" Target="https://ascopubs.org/doi/full/10.1200/JCO.2018.78.8687" TargetMode="External"/><Relationship Id="rId29" Type="http://schemas.openxmlformats.org/officeDocument/2006/relationships/hyperlink" Target="https://www.cancerandaging.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adiangeriatrics.ca/journals/cme-journal/publications/" TargetMode="External"/><Relationship Id="rId24" Type="http://schemas.openxmlformats.org/officeDocument/2006/relationships/hyperlink" Target="http://www.nourishonline.c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copubs.org/doi/full/10.1200/JCO.2018.78.8687" TargetMode="External"/><Relationship Id="rId23" Type="http://schemas.openxmlformats.org/officeDocument/2006/relationships/hyperlink" Target="https://www.health.qld.gov.au/__data/assets/pdf_file/0029/148826/hphe_mst_pstr.pdf" TargetMode="External"/><Relationship Id="rId28" Type="http://schemas.openxmlformats.org/officeDocument/2006/relationships/hyperlink" Target="https://www.cancerandaging.ca/" TargetMode="External"/><Relationship Id="rId10" Type="http://schemas.openxmlformats.org/officeDocument/2006/relationships/hyperlink" Target="https://thecanadiangeriatricssociety.wildapricot.org/membership" TargetMode="External"/><Relationship Id="rId19" Type="http://schemas.openxmlformats.org/officeDocument/2006/relationships/hyperlink" Target="https://riskcalculator.facs.org/RiskCalculator/"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anadiangeriatrics.ca/journals/cme-journal/publications/" TargetMode="External"/><Relationship Id="rId14" Type="http://schemas.openxmlformats.org/officeDocument/2006/relationships/footer" Target="footer1.xml"/><Relationship Id="rId22" Type="http://schemas.openxmlformats.org/officeDocument/2006/relationships/hyperlink" Target="https://www.mna-elderly.com/forms/mini/mna_mini_english.pdf" TargetMode="External"/><Relationship Id="rId27" Type="http://schemas.openxmlformats.org/officeDocument/2006/relationships/hyperlink" Target="https://ecog-acrin.org/resources/ecog-performance-status"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17375</Words>
  <Characters>99044</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Sutherland</dc:creator>
  <cp:lastModifiedBy>Heaven Teklehaymanot</cp:lastModifiedBy>
  <cp:revision>4</cp:revision>
  <cp:lastPrinted>2020-05-29T15:37:00Z</cp:lastPrinted>
  <dcterms:created xsi:type="dcterms:W3CDTF">2020-05-29T15:38:00Z</dcterms:created>
  <dcterms:modified xsi:type="dcterms:W3CDTF">2020-05-29T21:08:00Z</dcterms:modified>
</cp:coreProperties>
</file>